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1021 vom 25. November 2020</w:t>
      </w:r>
    </w:p>
    <w:p>
      <w:r>
        <w:t>VD Tribunal cantonal, 2020-11-25, FR</w:t>
      </w:r>
    </w:p>
    <w:p>
      <w:r>
        <w:rPr>
          <w:b/>
        </w:rPr>
        <w:t xml:space="preserve">Quelle: </w:t>
      </w:r>
      <w:r>
        <w:t>https://mcp.opencaselaw.ch/entscheid/vd_findinfo_D_cision___2020___1021</w:t>
      </w:r>
    </w:p>
    <w:p>
      <w:r>
        <w:t>FR: VD_FINDINFO Décision / 2020 / 1021 du 25 novembre 2020</w:t>
      </w:r>
    </w:p>
    <w:p>
      <w:r>
        <w:t>IT: VD_FINDINFO Décision / 2020 / 1021 del 25 novembre 2020</w:t>
      </w:r>
    </w:p>
    <w:p>
      <w:pPr>
        <w:pStyle w:val="Heading2"/>
      </w:pPr>
      <w:r>
        <w:t>Regeste</w:t>
      </w:r>
    </w:p>
    <w:p>
      <w:r>
        <w:t>PLAIGNANT, ASSISTANCE JUDICIAIRE, COMPLEXITÉ DE LA PROCÉDURE | 136 CPP (CH)</w:t>
      </w:r>
    </w:p>
    <w:p>
      <w:pPr>
        <w:pStyle w:val="Heading2"/>
      </w:pPr>
      <w:r>
        <w:t>Erwägungen</w:t>
      </w:r>
    </w:p>
    <w:p>
      <w:r>
        <w:rPr>
          <w:b/>
        </w:rPr>
        <w:t>E. 1</w:t>
      </w:r>
    </w:p>
    <w:p>
      <w:r>
        <w:t>à 5) figurant déjà au dossier. Il en sera donc tenu compte dans le traitement du recours.</w:t>
      </w:r>
    </w:p>
    <w:p>
      <w:r>
        <w:rPr>
          <w:b/>
        </w:rPr>
        <w:t>E. 2</w:t>
      </w:r>
    </w:p>
    <w:p>
      <w:r>
        <w:t>lettre c de cette disposition, l'assistance judiciaire comprend notamment la désignation d'un conseil juridique gratuit, lorsque la défense des intérêts de la partie plaignante l'exige. Cette norme reprend ainsi les trois conditions cumulatives découlant de l'art. 29 al. 3 Cst. (Constitution fédérale de la Confédération suisse du 18 avril 1999 ; RS 101), à savoir l'indigence, les chances de succès et le besoin d'être assisté (TF 6B_359/2020 du 11 août 2020 consid. 3.3.1). Le législateur a sciemment limité l'octroi de l'assistance judiciaire aux cas où le plaignant peut faire valoir des prétentions civiles ( ibid. ).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relatif à l'unification du droit de la procédure pénale du 21 décembre 2005, FF 2006 p. 1160 ; TF 1B_561/2019 du 12 février 2020 consid. 2.1).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1B_450/2015 du 22 avril 2016 consid. 2.2 ; TF 6B_458/2015 du 16 décembre 2015 consid. 4.3.3 et réf. citées). Dans la mesure du possible, la partie plaignante chiffre ses conclusions civiles dans sa déclaration au sens de l’art. 119 CPP et les motive par écrit ; elle cite les moyens de preuve qu'elle entend invoquer (art. 123 al. 1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cas échéant, des questions complémentaires ; un citoyen ordinaire devrait ainsi être en mesure de défendre lui-même ses intérêts de lésé dans une enquête pénale (ATF 123 I 145 consid. 2b/bb ; TF 1B_23/2020 du 17 mars 2020 consid. 2.2.1 et les réf. cit.).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1B_23/2020 précité). Le fait que la partie adverse soit assistée d’un avocat peut également devoir être pris en considération (Harari/Corminboeuf Harari, in : Jeanneret/Kuhn/ Perrier Depeursinge [éd.], Commentaire romand, Code de procédure pénale suisse, 2e éd., Bâle 2019, n. 64 ad art. 136 CPP).</w:t>
      </w:r>
    </w:p>
    <w:p>
      <w:r>
        <w:rPr>
          <w:b/>
        </w:rPr>
        <w:t>E. 2.1</w:t>
      </w:r>
    </w:p>
    <w:p>
      <w:r>
        <w:t>Le recourant fait valoir que la prise des conclusions civiles présente certaines difficultés nécessitant l’assistance d’un avocat. Il évoque des prétentions en réparation, d’une part, du dommage matériel subi par la détérioration et les frais d’élimination de ses pneus et, d’autre part, du tort moral subi en raison de la pression psychologique due aux menaces et injures, ainsi que la perte de gain du fait de l’empêchement d’exercer son activité économique. Il invoque également ses difficultés à maîtriser le français et se réfère à cet égard au contrat figurant sous pièce n° 6 produite à l’appui du recours prévoyant une aide administrative pour son entreprise.</w:t>
      </w:r>
    </w:p>
    <w:p>
      <w:r>
        <w:rPr>
          <w:b/>
        </w:rPr>
        <w:t>E. 2.2</w:t>
      </w:r>
    </w:p>
    <w:p>
      <w:r>
        <w:t>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w:t>
      </w:r>
    </w:p>
    <w:p>
      <w:r>
        <w:rPr>
          <w:b/>
        </w:rPr>
        <w:t>E. 2.3</w:t>
      </w:r>
    </w:p>
    <w:p>
      <w:r>
        <w:t>En l’espèce, le Ministère public ne prend pas position sur l’indigence du recourant, qui est avérée, au vu des pièces produites par ce dernier à l’appui de sa requête d’assistance judiciaire. En effet, il résulte de l’extrait des poursuites du 17 septembre 2019 que l’intéressé fait l’objet de poursuites à hauteur de plus de 20'000 fr. (P. 7/7). En outre, les décisions de taxation 2017 et 2018, datant de début 2020, font état d’un revenu annuel très bas, soit respectivement de 22'918 fr. et 12'282 fr., le recourant n’ayant par ailleurs aucune fortune. Enfin, on relèvera que le recourant a été mis au bénéfice de l’assistance judiciaire dans une procédure devant le Tribunal des baux (P. 7/14). S’agissant des chances de succès de l’action civile (art. 136 al. 1 CPP), elles ne peuvent pas d’emblée être exclues, dès lors que la procureure a, par courrier du 22 septembre 2020, indiqué que l’enquête était désormais complète et les faits établis et qu’elle entendait rendre une ordonnance pénale à l’encontre du prévenu du chef de préventions de dommages à la propriété, injure, contrainte et violation de domicile, ce qu’elle a confirmé dans la décision attaquée. Les deux conditions de l’art. 136 al. 1 CPP pour l’octroi de l’assistance judiciaire gratuite sont ainsi réalisées. S’agissant de la nécessité de l’assistance d’un avocat pour la défense des intérêts du recourant, il apparaît que les prétentions évoquées par celui-ci sont en lien avec son entreprise, de sorte que les intérêts en jeu sont élevés, et que les conclusions civiles telles que formulées par son conseil – en réparation du dommage matériel et du tort moral ainsi que la perte de gain du fait de l’empêchement d’exercer son activité économique – sont relativement complexes. Par ailleurs, comme la procureure a annoncé une condamnation du prévenu, l’articulation, respectivement l’étayage et le chiffrage des postes du dommage sont essentiels. A cela s’ajoute le niveau de formation limité de P.________, qui a d’ailleurs eu recours à une aide administrative externe tant pour son entreprise que pour ses affaires privées (P. 13/2/6), de sorte qu’il paraît incapable de se défendre seul. Au vu de ce qui précède, l’assistance d’un avocat apparaît nécessaire au recourant pour défendre ses intérêts de manière adéquate. Certes, le travail a été fait par le conseil actuel du plaignant, mais il serait injuste que ce travail ne soit pas couvert par l’assistance judiciaire, quand bien même le prévenu n’est pas assisté.</w:t>
      </w:r>
    </w:p>
    <w:p>
      <w:r>
        <w:rPr>
          <w:b/>
        </w:rPr>
        <w:t>E. 3</w:t>
      </w:r>
    </w:p>
    <w:p>
      <w:r>
        <w:t>Au vu de ce qui précède, le recours doit être admis et l’ordonnance du 13 octobre 2020 réformée en ce sens que P.________ est mis au bénéfice de l’assistance judiciaire, celle-ci comprenant la désignation d’un conseil juridique gratuit en la personne de Me Arnaud Thièry. Dès lors que le recourant obtient gain de cause, Me Arnaud Thièry a droit à une indemnité d’office pour la procédure de recours. En tenant compte d'une durée d’activité de deux heures nécessaires à la rédaction du recours, les honoraires seront fixés – au tarif de 180 fr. de l’heure (art. 2 al. 1 RAJ [règlement sur l’assistance judiciaire en matière civile du 7 décembre 2010 ; BLV 211.02.3], applicable par analogie en vertu de l’art. 26b TFIP [tarif des frais de procédure et indemnités en matière pénale du 28 septembre 2010 ; BLV 312.03.1]) – à 360 fr., auxquels s’ajoutent des débours forfaitaires à concurrence de 2 % (art. 19 al. 2 TDC [tarif des dépens en matière civile du 23 novembre 2010 ; BLV 270.11.6], applicable par renvoi de l’art. 26a al. 6 TFIP), par 7 fr. 20, ainsi que la TVA sur le tout, au taux de 7,7%, par 28 fr. 30. En définitive, l’indemnité de Me Arnaud Thièry se monte à 395 fr. 50, montant arrondi à 396 francs. Vu l’issue du recours, les frais de la procédure de recours, constitués en l’espèce de l’émolument d’arrêt, par 880 fr. (art. 20 al. 1 TFIP), et de l’indemnité du conseil juridique gratuit, par 396 fr., seront laissés à la charge de l’Etat (art. 423 al. 1 CPP). Par ces motifs, la Chambre des recours pénale prononce : I. Le recours est admis. II. L’ordonnance du 13 octobre 2020 est réformée en ce sens que P.________ est mis au bénéfice de l’assistance judiciaire, celle-ci comprenant la désignation d’un conseil juridique gratuit en la personne de Me Arnaud Thièry. III. Me Arnaud Thièry est désigné conseil juridique gratuit pour la procédure de recours et son indemnité est fixée à 396 fr. (trois cent nonante-six francs), à la charge de l’Etat. IV Les frais d’appel, par 880 fr. (huit cent huitante francs), sont laissés à la charge de l’Etat. V. L’arrêt est exécutoire. Le président :               Le greffier : Du Le présent arrêt, dont la rédaction a été approuvée à huis clos, est notifié, par l'envoi d'une copie complète, à : - Me Arnaud Thièry (pour P.________),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