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1018 vom 14. Oktober 2020</w:t>
      </w:r>
    </w:p>
    <w:p>
      <w:r>
        <w:t>VD Tribunal cantonal, 2020-10-14, FR</w:t>
      </w:r>
    </w:p>
    <w:p>
      <w:r>
        <w:rPr>
          <w:b/>
        </w:rPr>
        <w:t xml:space="preserve">Quelle: </w:t>
      </w:r>
      <w:r>
        <w:t>https://mcp.opencaselaw.ch/entscheid/vd_findinfo_D_cision___2020___1018</w:t>
      </w:r>
    </w:p>
    <w:p>
      <w:r>
        <w:t>FR: VD_FINDINFO Décision / 2020 / 1018 du 14 octobre 2020</w:t>
      </w:r>
    </w:p>
    <w:p>
      <w:r>
        <w:t>IT: VD_FINDINFO Décision / 2020 / 1018 del 14 ottobre 2020</w:t>
      </w:r>
    </w:p>
    <w:p>
      <w:pPr>
        <w:pStyle w:val="Heading2"/>
      </w:pPr>
      <w:r>
        <w:t>Regeste</w:t>
      </w:r>
    </w:p>
    <w:p>
      <w:r>
        <w:t>CLASSEMENT DE LA PROCÉDURE | 319 al. 1 CPP (CH)</w:t>
      </w:r>
    </w:p>
    <w:p>
      <w:pPr>
        <w:pStyle w:val="Heading2"/>
      </w:pPr>
      <w:r>
        <w:t>Erwägungen</w:t>
      </w:r>
    </w:p>
    <w:p>
      <w:r>
        <w:rPr>
          <w:b/>
        </w:rPr>
        <w:t>E. 1</w:t>
      </w:r>
    </w:p>
    <w:p>
      <w:r>
        <w:t>Les parties peuvent attaquer l’ordonnance de classement par écrit dans les dix jours devant l’autorité de recours (art. 322 al. 2 et 396 al. 1 CPP [Code de procédure pénale suisse du 5 octobre 2007 ; RS 312.0]) qui, dans le canton de Vaud, est la Chambre des recours pénale du Tribunal cantonal (art. 13 LVCPP [loi d’introduction du Code de procédure pénale suisse du 19 mai 2009 ; BLV 312.01] ; art. 80 LOJV [loi d’organisation judiciaire du 12 décembre 1979 ; BLV 173.01]). En l’espèce, le recours a été interjeté en temps utile devant l’autorité compétente. Il satisfait en outre aux conditions de forme posées par l’art. 385 al. 1 CPP.</w:t>
      </w:r>
    </w:p>
    <w:p>
      <w:r>
        <w:rPr>
          <w:b/>
        </w:rPr>
        <w:t>E. 2.1</w:t>
      </w:r>
    </w:p>
    <w:p>
      <w:r>
        <w:t>Cela étant, il convient de déterminer si X.________ a la qualité pour recourir concernant tous les faits reprochés à H.________.</w:t>
      </w:r>
    </w:p>
    <w:p>
      <w:r>
        <w:rPr>
          <w:b/>
        </w:rPr>
        <w:t>E. 2.2</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ou du moins coprotégé par la norme pénale qui a été enfreinte (cf. notamment ATF 143 IV 77 consid. 2.2 ; ATF 141 IV 454 consid. 2.3.1 ; ATF 140 IV 155, JdT 2015 IV 107 consid. 3.2 ; Garbarski, Le lésé et la partie plaignante en procédure pénale : état des lieux de la jurisprudence récente, SJ 2017 II pp. 125 ss, spéc. p. 126 ; Perrier Depeursinge, Code de procédure pénale suisse, Commentaire romand, 2 e éd., Bâle 2019, nn. 6 et 8 ad art. 115 CPP et les références). Pour être directement touché, le lésé doit subir une atteinte en rapport de causalité directe avec l’infraction poursuivie, ce qui exclut les dommages par ricochet (Garbarski, op. cit., p. 126, et les références en note 7).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(ATF 144 IV 81 consid. 2.3.1). Il ne suffit pas non plus de se référer à des dispositions légales ou à des arguments développés au fond pour considérer qu'il existerait nécessairement un intérêt immédiat à leur examen. Cela vaut d'autant plus lorsque les questions soulevées ne sont pas dénuées de toute complexité ou que les faits déterminants sont encore incertains (TF 1B_431/2019 du 6 janvier 2020 ; TF 1B_317/2018 du 12 décembre 2018 consid. 2.4). Une partie qui n'est pas concrètement lésée par la décision ne possède donc pas la qualité pour recourir et son recours est irrecevable (ibidem).</w:t>
      </w:r>
    </w:p>
    <w:p>
      <w:r>
        <w:rPr>
          <w:b/>
        </w:rPr>
        <w:t>E. 2.3</w:t>
      </w:r>
    </w:p>
    <w:p>
      <w:r>
        <w:t>La recourante soutient que H.________ aurait déclaré deux faux sinistres à D.________ en 2007 et 2013 (cas 1, 6 et 7) et un faux sinistre à « une assurance » dont elle ne connaît pas le nom (cas 4). Or, il est manifeste que la recourante n’a pas été directement lésée dans les cas 1 et 4 (vêtements endommagés et accident de la circulation) ; il en va de même pour les cas 6 et 7 (vol par effraction), puisque le couple a obtenu une indemnisation forfaitaire de 10'000 fr. – la preuve de la disparition de tous les objets déclarés volés ayant été mise en doute par la compagnie d’assurance – et que l’on ne sait donc pas exactement quel(s) objet(s) appartenant à quel époux cette somme forfaitaire correspond (P. 20/0 à 20/3). La recourante n’a pas non plus été lésée pour les cas 3 et 8, puisqu’il s’agit d’infractions qui auraient été commises au préjudice de l’employeur de H.________. Vu ce qui précède, à défaut d’avoir subi une atteinte directe à ses droits, la recourante ne peut se voir reconnaître la qualité de partie pour les cas 1, 3, 4, 6, 7 et 8 puisqu’elle n’est pas lésée. Elle n’a donc pas non plus la qualité pour recourir, ne disposant pas d'un intérêt juridiquement protégé à l'annulation ou à la modification de l’ordonnance sur ces points. Son recours doit par conséquent être déclaré irrecevable à cet égard. Pour le surplus, le recours de X.________ est en revanche recevable.</w:t>
      </w:r>
    </w:p>
    <w:p>
      <w:r>
        <w:rPr>
          <w:b/>
        </w:rPr>
        <w:t>E. 3.1</w:t>
      </w:r>
    </w:p>
    <w:p>
      <w:r>
        <w:t>La recourante conteste le classement de la procédure pour tous les autres cas.</w:t>
      </w:r>
    </w:p>
    <w:p>
      <w:r>
        <w:rPr>
          <w:b/>
        </w:rPr>
        <w:t>E. 3.2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 ATF 138 IV 86 consid. 4.1.1 ; ATF 138 IV 186 consid. 4.1 ; ATF 137 IV 219 consid. 7).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w:t>
      </w:r>
    </w:p>
    <w:p>
      <w:r>
        <w:rPr>
          <w:b/>
        </w:rPr>
        <w:t>E. 3.3</w:t>
      </w:r>
    </w:p>
    <w:p>
      <w:r>
        <w:t>Cas 2 A l’instar de la procureure, il faut tout d’abord constater que l’infraction de vol commis au détriment des proches ou des familiers (art. 139 ch. 4 CP) ne se poursuit que sur plainte, soit dans le délai de trois mois (PV aud. 1, ligne 99-101 ; art. 31 CP), de sorte que la recourante était manifestement à tard pour déposer plainte. Dans sa plainte, la recourante a exposé que son mari l’aurait obligée à lui révéler son code bancaire et aurait ainsi procédé à plusieurs prélèvements non autorisés le 4 décembre 2009 pour environ 2'000 fr. (P. 4/0, p. 8 ; P. 4/2). Au cours de son audition du 5 décembre 2019, l’intimé a déclaré que le couple n’avait pas de compte commun, que les frais étaient partagés et qu’il leur arrivait souvent de prendre la carte bancaire de l’un ou de l’autre pour payer quelque chose (PV aud. 1, lignes 82-101). La recourante fait valoir qu’elle se trouvait à son travail lors de l’un des prélèvements, ce qui ressortirait des annexes de sa plainte. Or, le seul tableau de présence produit est celui de la semaine du 18 au 22 novembre 2009 (P. 4/3), de sorte que cela ne démontre rien. De toute manière, vu l’écoulement du temps, il serait impossible d’obtenir des relevés horaires datant de plus de dix ans. Dans la mesure où il n’existe aucun motif de privilégier la version des faits de la recourante plutôt que celle de l’intimé, la mise en accusation de ce dernier pour ce cas ne se justifie pas. Cas 5 La recourante soutient que l’intimé n’a jamais contesté les deux SMS qu’elle lui a envoyés et dans lesquels elle fait allusion à la séquestration qu’elle aurait subie en [...] en 2012 (P. 4/14, p. 70 ; recours, p. 5) ; elle en déduit que son époux admet implicitement qu’il l’a séquestrée. Au cours de son audition du 5 décembre 2019, l’intimé a déclaré qu’il ne voyait absolument pas de quoi son épouse parlait, que les conflits étaient très fréquents et qu’il n’avait aucun souvenir d’un épisode plus violent que les autres qui serait survenu en été 2012 en [...] (PV aud. 1, lignes 299-306). Contrairement à ce que la recourante pense, ce n’est pas parce que l’intimé n’a pas répondu à ses deux SMS que cela démontre que cet événement se serait passé. Les déclarations de la recourante sont en outre ambiguës : d’un côté, elle fait grand cas d’une prétendue séquestration en [...], et de l’autre, elle dit qu’elle voulait et qu’elle aurait pu rester à ce moment-là dans son pays où sa famille l’aurait accueillie « à bras ouverts », mais qu’elle ne l’a pas fait (P. 4/0, p. 4- 5). La recourante ne prétend pas non plus qu’elle aurait déposé plainte en [...] pour séquestration, puisque les faits se seraient déroulés dans ce pays. Dans ces circonstances, un acquittement de l’intimé apparaît bien plus vraisemblable qu’une condamnation, de sorte que le classement de la procédure sur ce point doit être confirmé. Cas 9 et 10 L’intimé conteste toute infraction d’extorsion, de contrainte ou de traite d’êtres humains à l’encontre de la recourante. Celle-ci expose en substance qu’elle aurait été victime d’un mauvais mari qui en voulait à son argent. Elle n’apporte toutefois aucun élément supplémentaire propre à étayer les infractions reprochées. Comme relaté par la procureure, rien ne permet de retenir que cela aurait été le cas. La magistrate a par ailleurs exposé en quoi les conditions de l’infraction de traite d’êtres humains n’étaient à l’évidence pas réalisées, à savoir que l’intimé n’avait pas exploité le travail de la recourante en l’empêchant d’exercer ses droits fondamentaux en violation de la réglementation du travail ou des dispositions relatives à la rémunération, la santé et la sécurité sur le lieu de travail, par exemple par la privation de nourriture, la maltraitance psychique, le chantage, l’isolement, les lésions corporelles, les violences sexuelles ou les menaces de mort (cf. Dupuis et alii, Petit Commentaire du Code pénal, 2 e éd., Bâle 2017, n. 20 ad art. 182 CP). Le fait que la recourante ait dû travailler parce que son époux n’avait pas ou plus d’emploi et que le couple avait besoin d’argent pour subvenir aux besoins du ménage n’est constitutif d’aucune des infractions susmentionnées. Le fait qu’un mari profite de l’argent de sa femme (ou l’inverse) n’est pas non plus un comportement pénalement répréhensible. Le classement de la procédure doit être confirmé pour ces deux cas. Cas 11 Le Service de protection de la jeunesse (ci-après : SPJ) a procédé à une évaluation de la situation familiale et rendu un rapport le 11 août 2017 (P. 4/14/43). Concernant l’épisode de la vidéo pornographique, le SPJ a indiqué qu’il ne s’agissait pas d’un problème récurrent, mais plutôt isolé, et considéré qu’il n’y avait pas de mise en danger des enfants (p. 5). Au cours de son audition du 5 décembre 2019, l’intimé a admis qu’il était possible que son fils se soit saisi de son téléphone dès lors qu’il s’écoulait toujours un laps de temps avant que celui-ci se verrouille automatiquement (PV aud. 1, lignes 68-80). Dans la mesure où le SPJ, qui est intervenu peu de temps après les faits, n’y a pas vu la volonté du père de montrer à son enfant des images pornographiques et qu’il n’existe aucun indice démontrant le contraire, le classement ne peut qu’être confirmé. La recourante ne conteste par ailleurs pas qu’il ne s’agissait pas d’un acte volontaire de l’intimé. Cas 12 La recourante ne conteste pas ce qui a été retenu par la procureure, à savoir que le vol commis au préjudice des proches ne se poursuit que sur plainte et que celle-ci a été déposée tardivement. Cas 13 Par arrêt du 24 août 2015 (P. 4/14/44), la Cour d’appel civile du Tribunal cantonal a astreint la recourante à contribuer à l’entretien des siens par le régulier versement d’une pension alimentaire mensuelle de 200 fr. et astreint l’intimé à verser à son épouse la moitié des allocations familiales, soit 230 fr. par mois. La procureure a constaté qu’aucune des parties n’avait visiblement respecté ces injonctions jusqu’à mai 2019 et que l’intimé remboursait la différence entre les deux montants dus (soit 2'230 fr. [11'030 fr. – 8'800 fr.]) à hauteur de 50 fr. par mois (cf. PV aud. 1, lignes 429 ss). Le fait que la recourante n’ait rien réclamé depuis 2015 tend en effet à démontrer qu’aucun des époux n’a respecté l’arrêt de la Cour d’appel civile du 24 août 2015. La recourante soutient que les parties n’ont pas convenu que l’intimé lui rembourse la différence à raison de 50 fr. par mois et que ce dernier n’a toujours pas payé le premier franc de ses arriérés. Or, il ne ressort d’aucune des nombreuses pièces produites par la recourante qu’elle aurait ouvert une action civile contre son époux en remboursement de cette somme. Dès lors qu’un acquittement de l’intimé paraît nettement plus vraisemblable qu’une condamnation, la procédure doit être classée sur ce point. Cas 14 La procureure a exposé que le père avait expliqué, dans le cadre des mesures protectrices de l’union conjugale, qu’il donnait des punitions aux enfants lorsqu’ils faisaient des bêtises mais qu’il ne les frappait pas, que le SPJ n’avait pas remarqué d’éléments particuliers confirmant qu’il pouvait frapper ses enfants, malgré le fait qu’il pouvait lever le ton et s’énerver rapidement, que le comportement du père laissait plutôt à penser qu’il donnait une éducation à la fois stricte et laxiste à ses enfants, que ceux-ci faisaient l’objet d’un suivi aux Toises et que les spécialistes n’avaient pas relevé le comportement dénoncé par la mère. Elle a ajouté que les comportements reprochés de juillet à août 2015 avaient déjà fait l’objet d’un jugement rendu le 14 novembre 2018 par le Tribunal de police de l’arrondissement de Lausanne selon lequel les infractions étaient prescrites (P. 8). Cette motivation est complète et pertinente. La recourante ne la conteste d’ailleurs pas. Le classement de ce cas doit par conséquent être confirmé. Cas 15 La recourante soutient qu’elle a vainement tenté d’obtenir les témoignages des anciennes compagnes de l’intimé afin que celles-ci attestent des violences qu’il leur aurait fait subir. Elle fait valoir que les diverses pièces annexées à sa plainte devraient suffire pour contrecarrer les dénégations de son époux. Toutefois, outre le fait qu’elle se prévaut de voies de fait durant la vie commune pour lesquelles elle n’a pas déposé plainte dans le délai légal de trois mois (art. 31 CP), les faits eux-mêmes sont prescrits puisqu’ils remontent à plus de trois ans (art. 109 CP). Le classement doit également être confirmé sur ce point.</w:t>
      </w:r>
    </w:p>
    <w:p>
      <w:r>
        <w:rPr>
          <w:b/>
        </w:rPr>
        <w:t>E. 3.4</w:t>
      </w:r>
    </w:p>
    <w:p>
      <w:r>
        <w:t>Au vu des considérations qui précèdent, c’est à juste titre que le Ministère public a mis fin à l’action pénale engagée à l’encontre de H.________.</w:t>
      </w:r>
    </w:p>
    <w:p>
      <w:r>
        <w:rPr>
          <w:b/>
        </w:rPr>
        <w:t>E. 4.1</w:t>
      </w:r>
    </w:p>
    <w:p>
      <w:r>
        <w:t>La recourante conteste l’application de l’art. 420 CPP et la mise à sa charge de l’indemnité à forme de l’art. 429 CPP et des frais de procédure.</w:t>
      </w:r>
    </w:p>
    <w:p>
      <w:r>
        <w:rPr>
          <w:b/>
        </w:rPr>
        <w:t>E. 4.2</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du 10 août 2018 consid. 5.1.2 et les références.).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(Domeisen, Basler Kommentar, Schweizerische Strafprozessordnung, Jugendstraf-prozessordnung, 2 e éd., Bâle 2014, n. 6 ad art. 420 CPP).</w:t>
      </w:r>
    </w:p>
    <w:p>
      <w:r>
        <w:rPr>
          <w:b/>
        </w:rPr>
        <w:t>E. 4.3</w:t>
      </w:r>
    </w:p>
    <w:p>
      <w:r>
        <w:t>En l’espèce, la procureure a fait application de l’action récursoire de l’art. 420 CPP au motif que la recourante avait déposé une plainte infondée et/ou malveillante avec de très nombreux compléments et avait étendu le champ des infractions dont certaines ne lui donnaient en aucun cas une quelconque légitimation active pour déposer plainte. Comme la recourante l’explique, elle a très vite déchanté lorsqu’elle est arrivée en Suisse, puisqu’elle a découvert que son époux n’était pas aussi aisé qu’il l’avait fait croire à elle et à sa famille et qu’elle a dû travailler pour subvenir aux besoins du ménage au lieu de poursuivre ses études comme promis. La recourante conserve de toute évidence de profondes rancœurs à l’égard de son mari alors qu’elle est pourtant séparée de lui depuis 2015. Il suffit de lire ses nombreuses et prolixes écritures pour s’en convaincre. La procureure a raison lorsqu’elle observe que la recourante n’a pas jugé utile de faire valoir tous les événements objets de la présente procédure dans sa première plainte pénale contre son époux du 5 août 2015 et que ses plaintes des 6 juin 2019 et 1 er septembre 2019 s’inscrivent en lien avec la volonté de la recourante d’obtenir la garde entière des enfants, le climat entre les parties étant devenu de plus en plus délétère. Il ressort en effet du courriel de la recourante du 19 février 2019 ce qui suit : « Il n’y a pas que la garde partagée qui ne me convient pas (…). Je ne veux plus que l’éducation de mes enfants soit confiée à un tel personnage capable de séquestrer une femme comme vous l’avez fait en [...]… » (recours, p. 5). C’est donc par pure malveillance et dans le but de discréditer son époux afin d’obtenir la garde entière des enfants que la recourante l’a dénoncé – des années plus tard – pour de nombreuses infractions qui ne la lésaient pas. Pour le reste, sa plainte est pour l’essentiel de nature chicanière et revancharde. La mise à sa charge, en application de l’art. 420 CPP, de l’indemnité au sens de l’art. 429 CPP et des frais de procédure est par conséquent entièrement justifiée.</w:t>
      </w:r>
    </w:p>
    <w:p>
      <w:r>
        <w:rPr>
          <w:b/>
        </w:rPr>
        <w:t>E. 5</w:t>
      </w:r>
    </w:p>
    <w:p>
      <w:r>
        <w:t>Il résulte de ce qui précède que le recours, manifestement mal fondé (art. 390 al. 2 CPP), doit être rejeté et l’ordonnance entreprise confirmée. Les frais de la procédure de recours,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13 juillet 2020 est confirmée. III. Les frais d’arrêt, par 1'540 fr. (mille cinq cent quarante francs), sont mis à la charge de X.________. IV. L’arrêt est exécutoire. Le président :              La greffière : Du Le présent arrêt, dont la rédaction a été approuvée à huis clos, est notifié, par l'envoi d'une copie complète, à : - Mme X.________, - Me Xavier Rubli, avocat (pour H.________),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