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1001 vom 12. Februar 2021</w:t>
      </w:r>
    </w:p>
    <w:p>
      <w:r>
        <w:t>VD Tribunal cantonal, 2021-02-12, FR</w:t>
      </w:r>
    </w:p>
    <w:p>
      <w:r>
        <w:rPr>
          <w:b/>
        </w:rPr>
        <w:t xml:space="preserve">Quelle: </w:t>
      </w:r>
      <w:r>
        <w:t>https://mcp.opencaselaw.ch/entscheid/vd_findinfo_D_cision___2020___1001</w:t>
      </w:r>
    </w:p>
    <w:p>
      <w:r>
        <w:t>FR: VD_FINDINFO Décision / 2020 / 1001 du 12 février 2021</w:t>
      </w:r>
    </w:p>
    <w:p>
      <w:r>
        <w:t>IT: VD_FINDINFO Décision / 2020 / 1001 del 12 febbraio 2021</w:t>
      </w:r>
    </w:p>
    <w:p>
      <w:pPr>
        <w:pStyle w:val="Heading2"/>
      </w:pPr>
      <w:r>
        <w:t>Regeste</w:t>
      </w:r>
    </w:p>
    <w:p>
      <w:r>
        <w:t>ORDONNANCE DE SÉQUESTRE, PROPORTIONNALITÉ, MINIMUM VITAL, ADMISSION DE LA DEMANDE | 71 al. 3 CP, 263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 Lembo/Julen Berthod, in : Jeanneret et al. [éd.], Commentaire romand, Code de procédure pénale suisse, 2 e éd., Bâle 2019 [ci-après : CR CPP], n. 4 ad art. 267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vaudoise d’organisation judiciaire du 12 décembre 1979 ; BLV 173.01]).</w:t>
      </w:r>
    </w:p>
    <w:p>
      <w:r>
        <w:rPr>
          <w:b/>
        </w:rPr>
        <w:t>E. 1.2</w:t>
      </w:r>
    </w:p>
    <w:p>
      <w:r>
        <w:t>En l’espèce, interjeté en temps utile (art. 396 al. 1 CPP) contre une ordonnance de séquestre rendue par le Ministère public (art. 263 al. 1 et 393 al. 1 let. a CPP), dans les formes prescrites (art. 385 al. 1 CPP), par le prévenu, détenteur de la somme d’argent séquestrée, et qui a donc un intérêt juridique à l’annulation ou à la modification de l’ordonnance entreprise (art. 382 al. 1 CPP), le recours est recevable sous cet angle.</w:t>
      </w:r>
    </w:p>
    <w:p>
      <w:r>
        <w:rPr>
          <w:b/>
        </w:rPr>
        <w:t>E. 2</w:t>
      </w:r>
    </w:p>
    <w:p>
      <w:r>
        <w:t>CPP), ce qui exclut qu'elle résolve des questions juridiques complexes ou qu'elle attende d'être renseignée de manière exacte et complète sur les faits avant d'agir (ATF 141 IV 360 consid. 3.2 ; TF 1B_193/2019 du 23 septembre 2019 consid. 3.1).</w:t>
      </w:r>
    </w:p>
    <w:p>
      <w:r>
        <w:rPr>
          <w:b/>
        </w:rPr>
        <w:t>E. 2.1</w:t>
      </w:r>
    </w:p>
    <w:p>
      <w:r>
        <w:t>et les arrêts cités). L'autorité doit pouvoir statuer rapidement (cf. art. 263 al.</w:t>
      </w:r>
    </w:p>
    <w:p>
      <w:r>
        <w:rPr>
          <w:b/>
        </w:rPr>
        <w:t>E. 2.2.1</w:t>
      </w:r>
    </w:p>
    <w:p>
      <w:r>
        <w:t>Le séquestre pénal est une mesure de contrainte prévue à l’art. 263 CPP, qui consiste à mettre sous mains de justice des objets ou des valeurs patrimoniales appartenant au prévenu ou à des tiers, dans le but de les utiliser comme moyens de preuves (al. 1 let. a), de les réaliser en vue du paiement des frais de procédure, des peines pécuniaires, des amendes et des indemnités (al. 1 let. b), de les restituer au lésé (al. 1 let. c) ou de les confisquer (al. 1 let. d). S’agissant d’une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in : Jeanneret et al. [éd.], Commentaire romand, Code de procédure pénale suisse, 2 e éd., Bâle 2019, n. 22 ad art. 263 CPP).</w:t>
      </w:r>
    </w:p>
    <w:p>
      <w:r>
        <w:rPr>
          <w:b/>
        </w:rPr>
        <w:t>E. 2.2.2</w:t>
      </w:r>
    </w:p>
    <w:p>
      <w:r>
        <w:t>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sur la poursuite pour dettes et la faillite du 11 avril 1889 ; RS 281.1) sont exclues du séquestre (al. 3). Le séquestre en couverture des frais impose de prendre en compte le revenu et la fortune du prévenu (art. 268 al. 2 CPP) et d’exclure du séquestre les valeurs insaisissables selon les art. 92 à 94 LP (art. 268 al. 3 CPP). Un tel examen s’impose car cette mesure tend exclusivement à la sauvegarde des intérêts publics, soit à garantir le recouvrement de la future dette de droit public du prévenu (ATF 141 IV 360 consid. 3.1 ; ATF 119 Ia 453 consid. 4d ; TF 1B_274/2012 du 11 juillet 2012 consid. 3). Elle peut, de plus, porter sur tous les biens et valeurs du prévenu, même ceux qui n’ont pas de lien de connexité avec l’infraction (ATF 141 IV 360 consid. 3.1 ; TF 1B_136/2014 du 14 mai 2014 consid. 2.1 ; TF 1B_274/2012 du 11 juillet 2012 consid. 3.1). Il se justifie donc, sous l’angle du principe de la proportionnalité (art. 197 al. 1 let. c et d CPP), de respecter le minimum vital de la personne touchée par ce type de séquestre (ATF 141 IV 360 consid. 3.1 ; TF 6B_548/2018 du 18 juillet 2018 consid. 2.1; TF 1B_136/2014 du 14 mai 2014 consid. 2.1 ;  TF 1P.21/2007 du 2 mai 2007 consid. 4). Le respect du minimum vital est aussi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(ATF 141 IV 360 consid. 3.1 ; ATF 139 I 272 consid. 3.2).</w:t>
      </w:r>
    </w:p>
    <w:p>
      <w:r>
        <w:rPr>
          <w:b/>
        </w:rPr>
        <w:t>E. 2.2.3</w:t>
      </w:r>
    </w:p>
    <w:p>
      <w:r>
        <w:t>Le séquestre prévu à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op. cit., n. 15 ad art. 263 CPP). Ce type de séquestre est, selon la jurisprudence et la doctrine, limité aux valeurs patrimoniales et aux objets qui ont été soustraits à la personne lésée directement du fait de l’infraction, ainsi qu’aux comptes alimentés grâce à l’infraction. Toutefois, si un lien direct ne peut pas être établi entre les objets ou valeurs patrimoniales et l’infraction, le séquestre ne peut pas être ordonné (Moreillon/Parein Reymond, op. cit., n. 17 ad art. 263 CPP et les références citées). Il doit donc exister un lien de connexité matériel entre le produit de l’infraction et les valeurs à séquestrer.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la résolution de questions juridiques complexes (ATF 141 IV 360 consid. 3.2 ; Lembo/Julen Berthod, op. cit., n. 25 ad art. 263 CPP et les arrêts cités).</w:t>
      </w:r>
    </w:p>
    <w:p>
      <w:r>
        <w:rPr>
          <w:b/>
        </w:rPr>
        <w:t>E. 2.2.4</w:t>
      </w:r>
    </w:p>
    <w:p>
      <w:r>
        <w:t>Le séquestre prévu à l'art. 263 al. 1 let. d CPP consiste à placer sous mains de justice des biens en raison du danger qu'ils présentent pour la sécurité des personnes, la morale ou l'ordre public (art. 69 CP ou, en matière d'infractions routière, art. 90a LCR ; TF 1B_252/2014 du 3 novembre 2014 consid. 2.4), de leur origine ou de leur utilisation criminelle (art. 70 et 72 CP), pour autant que l'on puisse admettre, prima facie , qu'ils pourront être confisqués en application du droit fédéral (Julen Berthod in : Jeanneret et al. [éd.], Commentaire romand, Code de procédure pénale suisse, 2 e éd., Bâle 2019, n. 7 ad art. 263 CPP). Si les valeurs patrimoniales à confisquer ne sont plus disponibles, la confiscation est impossible et le séquestre ne peut plus être ordonné en application de l’art. 263 al. 1 let. d CPP. Dans ce cas, la question qui se posera au juge est celle de la créance compensatrice (art. 71 al. 1 CP). Selon l'art. 71 al. 3 CP, l'autorité d'instruction peut placer sous séquestre, en vue de l'exécution d'une créance compensatrice, des éléments du patrimoine de la personne concernée ; le séquestre ne donne pas de droit de préférence en faveur de l'État lors de l'exécution forcée de la créance compensatrice. L'art. 71 al. 3 CP permet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et les réf. cit.).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w:t>
      </w:r>
    </w:p>
    <w:p>
      <w:r>
        <w:rPr>
          <w:b/>
        </w:rPr>
        <w:t>E. 2.2.5</w:t>
      </w:r>
    </w:p>
    <w:p>
      <w:r>
        <w:t>Un séquestre est proportionné lorsqu'il porte sur des avoirs dont on peut admettre en particulier qu'ils pourront être vraisemblablement confisqués en application du droit pénal (ATF 144 IV 285 consid. 2.2; TF 1B_343/2020 du 3 septembre 2020 consid. 3.1).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1B_343/2020 précité consid. 3.1).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1B_343/2020 précité consid. 3.1; cf. aussi ATF 140 IV 57 consid. 4.3). Tant que l'étendue de la mesure ne paraît pas manifestement violer le principe de proportionnalité, notamment sous l'angle du respect des conditions minimales d'existence (TF 1B_157/2007 du 25 octobre 2007 consid. 2.6 ; TF 1P.21/2007 du 2 mai 2007 consid. 4.3), le séquestre doit être maintenu.</w:t>
      </w:r>
    </w:p>
    <w:p>
      <w:r>
        <w:rPr>
          <w:b/>
        </w:rPr>
        <w:t>E. 2.3</w:t>
      </w:r>
    </w:p>
    <w:p>
      <w:r>
        <w:t>En l’espèce, le recourant fait notamment valoir que l’instruction est ouverte depuis plus de deux ans et que le Ministère public, auquel il reproche de n’avoir encore procédé à aucune des auditions à décharge requises par la défense, ne peut plus se satisfaire d’un soupçon crédible ou d’un début de preuve d’abus de confiance pour ordonner un séquestre. Il fait aussi valoir que le séquestre ordonné le priverait de toutes ressources et qu’il serait dès lors disproportionné. Sur le premier moyen, il convient de relever qu’il existe des charges suffisantes d’abus de confiance pour justifier un séquestre. En effet, il ressort du dossier que le recourant a envoyé au plaignant le 27 mai 2018 (P. 5/29) un courriel dans lequel il lui expliquait qu’il n’avait pas encore pu lui rendre les 25'000 fr. parce qu’il devrait d’abord revendre les actions correspondantes, ce qui sous-entendait que les 25'000 fr. auraient été employés à l’achat d’actions. Il paraît dès lors ressortir de ce courriel qu’il était convenu entre les parties que les 25'000 fr. devaient servir à l’acquisition d’actions pour le plaignant. Dans ces conditions, il existe donc des charges sérieuses, toujours suffisantes à ce stade de l’instruction, qui accréditent la thèse selon laquelle les 25'000 fr. litigieux constituaient une chose confiée, dont le recourant pourrait avoir abusé en les dépensant à d’autres fins. Sur le second moyen, il sied de constater que le séquestre ne peut pas être ordonné en application de l'art. 263 al. 1 let. c ou d CPP, puisqu'il s'avère que le compte personnel BCV du recourant sur lequel porte le séquestre présentait un solde presque nul à l'ouverture de l'instruction et qu'il a en réalité été crédité plusieurs fois durant l'été 2020. Il n'y a donc pas de lien de connexité entre le produit de l'éventuelle infraction et les valeurs patrimoniales déposées sur ce compte. Toutefois, le séquestre à fin de garantir l'exécution d'une créance compensatrice (art. 71 al. 3 CP) ne suppose pas un tel lien. L'ordonnance attaquée est aussi motivée en vue de l'exécution d'une telle créance compensatrice (cf. p. 2 in fine de l'ordonnance de séquestre attaquée). Même si l'art. 71 al. 3 CP n'est pas expressément cité par le Ministère public, la motivation de la décision, certes succincte à cet égard, permet de comprendre que le séquestre est également prononcé dans cette perspective. Cela étant, un séquestre fondé sur l'art. 71 al. 3 CP ne doit pas porter atteinte au minimum vital garanti par les art. 92 et 93 LP. Or, en l’espèce, on ignore la situation financière globale du prévenu. La décision attaquée ne mentionne rien non plus sur le minimum vital nécessaire au recourant pour subvenir à ses besoins au sens de la LP. Le procureur relève certes que le prévenu utilise son compte personnel BCV à des fins professionnelles mais cela est contesté par ce dernier qui a expliqué qu'il n'utilisait plus depuis longtemps son compte personnel dans le cadre de son activité professionnelle et qu'il s'agissait de son seul compte qui lui permettait d'assurer ses dépenses quotidiennes de base. Le Ministère public ne s'est pas prononcé sur ce point et n'a pas interrogé le prévenu sur sa situation financière lors de sa seule audition du 18 avril 2019 (cf. PV aud. 2). Partant, les conditions pour ordonner le séquestre de la somme de 25'000 fr. n'étant pas toutes remplies, la cause doit être renvoyée au Ministère public pour qu'il instruise la question du respect des conditions minimales d'existence du prévenu, puis rende une nouvelle décision.</w:t>
      </w:r>
    </w:p>
    <w:p>
      <w:r>
        <w:rPr>
          <w:b/>
        </w:rPr>
        <w:t>E. 3</w:t>
      </w:r>
    </w:p>
    <w:p>
      <w:r>
        <w:t>Il résulte de ce qui précède que le recours doit être admis, l'ordonnance attaquée annulée et le dossier de la cause renvoyé au Ministère public de l'arrondissement de La Côte pour qu’il procède dans le sens des considérants, puis rende une nouvelle décision dans un délai de trente jours dès la notification du présent arrêt. Le séquestre sera maintenu jusqu'à droit connu sur la nouvelle décision du Ministère public pour autant que cette décision intervienne dans le délai imparti (cf. notamment CREP 4 septembre 2019/720 consid. 3; CREP 22 août 2018/636 consid. 3 et les réf. citées). Les frais de la procédure de recours, constitués de l’émolument d’arrêt, par 1'320 fr. ( art. 20 al. 1 TFIP [tarif des frais de procédure et indemnités en matière pénale du 28 septembre 2010; BLV 312.03.1]), seront mis à la charge de D.________ qui succombe dès lors qu’il a conclu au rejet du recours (art. 428 al. 1 CPP). Le recourant, qui obtient gain de cause et qui a procédé avec l’assistance d’un avocat de choix, a droit à une indemnité pour les dépenses occasionnées par l'exercice raisonnable de ses droits dans la procédure de recours. L’indemnité sera fixée à 900 fr. (3 heures à 300 fr. ; art. 26a al. 3 TFIP), montant auquel s’ajoutent des débours forfaitaires à concurrence de 2 % (art. 19 al. 2 TDC [tarif des dépens en matière civile du 23 novembre 2010 ; BLV 270.11.6], applicable par renvoi de l’art. 26a al. 6 TFIP), par 18 fr., ainsi que la TVA, par 70 fr. 70, soit au total 988 fr. 70, montant arrondi à 989 francs. Cette indemnité sera mise à la charge de D.________, qui, ayant conclu au rejet du recours, est considéré avoir succombé (art. 428 al. 1 CPP). Par ces motifs, la Chambre des recours pénale prononce : I. Le recours est admis. II. L'ordonnance du 18 novembre 2020 est annulée. III. Le dossier de la cause est renvoyé au Ministère public de l'arrondissement de La Côte pour qu'il procède dans le sens des considérants, puis rende une nouvelle décision dans un délai de trente jours dès la notification du présent arrêt. IV. Le séquestre est maintenu jusqu’à droit connu sur la décision à rendre par le Ministère public de l'arrondissement de La Côte conformément au chiffre III ci-dessus, à la condition que cette décision intervienne dans le délai imparti. V. Les frais d’arrêt, par 1'320 fr. (mille trois cent vingt francs), sont mis à la charge de D.________. VI. Une indemnité de 989 fr. (neuf cent huitante-neuf francs) est allouée à G.________ pour les dépenses occasionnées par la procédure de recours, à la charge de D.________. VII. L’arrêt est exécutoire. Le président :               La greffière : Du Le présent arrêt, dont la rédaction a été approuvée à huis clos, est notifié, par l'envoi d'une copie complète, à : - Me Eric Muster, avocat (pour G.________), - D.________,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