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997 vom 2. Dezember 2019</w:t>
      </w:r>
    </w:p>
    <w:p>
      <w:r>
        <w:t>VD Tribunal cantonal, 2019-12-02, FR</w:t>
      </w:r>
    </w:p>
    <w:p>
      <w:r>
        <w:rPr>
          <w:b/>
        </w:rPr>
        <w:t xml:space="preserve">Quelle: </w:t>
      </w:r>
      <w:r>
        <w:t>https://mcp.opencaselaw.ch/entscheid/vd_findinfo_D_cision___2019___997</w:t>
      </w:r>
    </w:p>
    <w:p>
      <w:r>
        <w:t>FR: VD_FINDINFO Décision / 2019 / 997 du 2 décembre 2019</w:t>
      </w:r>
    </w:p>
    <w:p>
      <w:r>
        <w:t>IT: VD_FINDINFO Décision / 2019 / 997 del 2 dicembre 2019</w:t>
      </w:r>
    </w:p>
    <w:p>
      <w:pPr>
        <w:pStyle w:val="Heading2"/>
      </w:pPr>
      <w:r>
        <w:t>Regeste</w:t>
      </w:r>
    </w:p>
    <w:p>
      <w:r>
        <w:t>PLACEMENT À DES FINS D'ASSISTANCE, LIBÉRATION CONDITIONNELLE, MESURE THÉRAPEUTIQUE INSTITUTIONNELLE, ADMISSION DE LA DEMANDE, PROPORTIONNALITÉ | 59 CP, 62c CP</w:t>
      </w:r>
    </w:p>
    <w:p>
      <w:pPr>
        <w:pStyle w:val="Heading2"/>
      </w:pPr>
      <w:r>
        <w:t>Erwägungen</w:t>
      </w:r>
    </w:p>
    <w:p>
      <w:r>
        <w:rPr>
          <w:b/>
        </w:rPr>
        <w:t>E. 1</w:t>
      </w:r>
    </w:p>
    <w:p>
      <w:r>
        <w:t>En vertu de l’art. 38 al. 1 LEP (Loi sur l’exécution des condamnations pénales du 4 juillet 2016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qui a été interjeté en temps utile, par le condamné qui a qualité pour recourir au sens de l’art. 382 al. 1 CPP, devant l’autorité compétente et qui satisfait aux conditions de formes posées par l’art. 385 al. 1 CPP, est recevable.</w:t>
      </w:r>
    </w:p>
    <w:p>
      <w:r>
        <w:rPr>
          <w:b/>
        </w:rPr>
        <w:t>E. 1.1</w:t>
      </w:r>
    </w:p>
    <w:p>
      <w:r>
        <w:t>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(ATF 137 IV 201 consid. 1.2 ; TF 6B_660/2019 du 20 août 2019 consid. 5.1). Ce pronostic doit être posé en tenant compte du principe de la proportionnalité (art.</w:t>
      </w:r>
    </w:p>
    <w:p>
      <w:r>
        <w:rPr>
          <w:b/>
        </w:rPr>
        <w:t>E. 2.1</w:t>
      </w:r>
    </w:p>
    <w:p>
      <w:r>
        <w:t>Le recourant fait grief au premier juge, d’une part, d’avoir surestimé le risque de récidive lié à son état et d’avoir ainsi violé l’art. 62 al. 1 CP en lui refusant l’occasion de faire ses preuves en liberté alors que son état ne s’y opposerait pas et, d’autre part, d’avoir méconnu l’importance accrue qu’il y a lieu d’accorder au principe de la proportionnalité lorsque la mesure thérapeutique institutionnelle a déjà duré plus de cinq ans.</w:t>
      </w:r>
    </w:p>
    <w:p>
      <w:r>
        <w:rPr>
          <w:b/>
        </w:rPr>
        <w:t>E. 2.2.1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w:t>
      </w:r>
    </w:p>
    <w:p>
      <w:r>
        <w:rPr>
          <w:b/>
        </w:rPr>
        <w:t>E. 2.2.2</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6B_804/2011 du 14 février 2012 consid. 1.1.3). De manière générale, la levée d’une mesure en raison de son échec doit être admise de manière restrictive (ATF 141 IV 49 consid. 2.3 ; TF 6B_1143/2019 du 31 octobre 2019 consid. 1.1).</w:t>
      </w:r>
    </w:p>
    <w:p>
      <w:r>
        <w:rPr>
          <w:b/>
        </w:rPr>
        <w:t>E. 2.3</w:t>
      </w:r>
    </w:p>
    <w:p>
      <w:r>
        <w:t>En l’espèce, il résulte du rapport d’expertise du 22 février 2019 que, d’une part, le recourant souffre d’un trouble psychique chronique qui comporte, en cas de décompensation, un risque de troubles du comportement pouvant aboutir à des attitudes menaçantes ou à des actes violents contre autrui et que, d’autre part, ce risque de décompensation peut être réduit – sans pouvoir être éliminé totalement – par un suivi psychothérapeutique et par une médication adéquate prise sous la stimulation et la surveillance de tiers (cf. P. 18, p. 17), c’est-à-dire dans un cadre institutionnel (cf. P. 18, R5). Les conditions d’application de l’art. 59 al. 3 CP sont donc en l’état toujours remplies, de sorte qu’il n’y a pas lieu de lever la mesure thérapeutique institutionnelle en vertu de l’art. 56 al. 6 CP. En outre, les experts ont noté, depuis 2016 et en lien avec le traitement, une amélioration des capacités d’auto-contrôle du recourant, qui pourrait encore être consolidée par une poursuite de l’accompagnement médical en cours (cf. P. 18, p. 18 et 19). Tous les intervenants s’accordent à constater que X.________ est encore susceptible de bénéficier de l’encadrement mis en place, dont il a encore besoin sous obligation légale, pour garantir une certaine stabilité psychique et comportementale. La mesure n’est ainsi manifestement pas vouée à l’échec et il n’y a pas lieu de la lever en application de l’art. 62c al. 1 let. a CP. Pour le surplus, l’évolution du condamné est positive et il y a lieu de donner acte à X.________ des efforts consentis, en particulier depuis son placement à l’EPSM La Sylvabelle, ainsi que du fait qu’il n’a plus adopté de comportement transgressif depuis plusieurs années, sous réserve de la fugue de l’hôpital de Cery en mars 2018, lors de laquelle il n’a toutefois pas commis d’infraction. Néanmoins, avant de pouvoir envisager l’éventualité de donner au condamné l’occasion de faire ses preuves en liberté, il apparaît nécessaire de le responsabiliser dans le cadre sécurisant dont il bénéficie actuellement. Il ressort également du rapport d’expertise que le risque que le recourant adopte, dans une phase de décompensation, des comportements menaçants ou violents pourrait se réaliser de manière peu prévisible, voire de manière imprévisible (cf. P. 18, p. 17). En l’état, les autorités pénales ne peuvent donc pas donner au recourant l’occasion de faire ses preuves en liberté en comptant sur la survenance de signes avant-coureurs, annonçant une prochaine décompensation et permettant, le cas échéant, de réintégrer le recourant en milieu institutionnel avant tout nouvel acte hétéro-agressif éventuel. Toutefois, il ne faut pas perdre de vue que les actes pour lesquels le recourant a été condamné consistaient en des menaces, qu’il a certes répétées mais dont on ignore s’il a sérieusement envisagé de les mettre à exécution, et dans la projection d’un crachat sur la figure d’une autre personne. Il ne résulte pas du dossier que le recourant se serait livré à des actes de violence plus graves. Ainsi, en l’état à tout le moins, aucun indice ne permet de penser que le recourant puisse présenter, quant aux conséquences des actes que ses antécédents autorisent à redouter de lui, une dangerosité telle que son droit à la liberté personnelle devrait, sans conteste, céder devant l’intérêt public au maintien de la sécurité des personnes. Condamné à une peine privative de liberté d’une durée de dix mois, le recourant a déjà été privé de liberté pendant plus de douze ans. Au regard du principe de la proportionnalité, il ne peut aujourd’hui être privé plus longtemps de liberté en application des art. 59 ss CP que dans une mesure très limitée. À cet égard, une prolongation de la mesure pour une durée supplémentaire de deux ans – telle qu’ordonnée dans la décision litigieuse – paraît à tout le moins excessive. Les experts recommandent la poursuite de la mesure en foyer ouvert, assortie d’un élargissement progressif, parce qu’il est à craindre que, s’il se retrouvait livré à lui-même, le recourant, faute d’avoir une autonomie et une volonté suffisantes du fait de sa pathologie et faute également d’avoir la solidité psychique nécessaire, n’apporterait pas suffisamment de soins à sa personne et qu’il ne pourrait pas déployer des performances globales suffisantes sur le plan du fonctionnement quotidien pour éviter de mettre en péril sa situation personnelle (cf. P. 18, p. 20). Le discours de X.________, en dernier lieu lors de son audition par le Juge d’application des peines, est également révélateur sur ce plan, en ce sens qu’il n’apparaît absolument pas conscient des difficultés auxquelles il serait actuellement confronté hors du cadre institutionnel dont il dispose, que ce soit au niveau de la poursuite de son traitement médical peut-être, mais surtout des tentations de consommation auxquelles il aurait alors à faire face. C’est ainsi essentiellement à des fins de protection du recourant lui-même qu’il y a lieu de constater, avec les experts, qu’il apparaît nécessaire de continuer à priver celui-ci de liberté, ce qui constitue davantage un motif de privation de liberté à des fins d’assistance au sens de l’art. 426 CC (Code civil suisse du 10 décembre 1907 ; RS 210) qu’un motif de prolongation de la mesure pénale. A cet égard, les experts suggèrent de maintenir provisoirement la mesure pénale parce qu’un passage sous le régime du placement à des fins d’assistance entraînerait, selon les renseignements qu’ils ont recueillis auprès de la directrice de l’EPSM La Sylvabelle, l’obligation pour le recourant de quitter cet établissement pour un autre – ce qui serait dommageable pour le recourant de l’avis des experts convaincant sur ce dernier point (cf. P. 18, p. 19). Toutefois, des informations publiées sur le site internet de l’Association vaudoise d’institutions médico-psycho-sociales, il ressort que l’EPSM La Sylvabelle admet aussi bien des personnes soumises au régime de la privation de liberté à des fins d’assistance que des personnes faisant l’objet d’un placement pénal (cf. descriptif publié à l’adresse www.heviva.ch/institutions/detail/ems/sylvabelle-epsm.html). Au vu de ces informations, on ne voit pas quel obstacle raisonnable pourrait empêcher que le recourant puisse changer de régime juridique en demeurant dans le même établissement et on peine dès lors à comprendre le contenu du courrier de la directrice de La Sylvabelle du 4 mai 2018 mentionné par les experts et selon lequel le placement de l’intéressé à des fins d’assistance nécessiterait un changement d’établissement. Dans ces conditions, il y a lieu d’admettre le recours, d’annuler la décision attaquée et de renvoyer la cause au Juge d’application des peines pour qu’il interpelle la direction de l’EPSM La Sylvabelle sur la nature des obstacles qui empêcheraient un changement de régime au sein de cet établissement et sur la manière de surmonter ces obstacles. Le Juge d’application des peines interpellera également le curateur du recourant sur les démarches qu’il envisage d’entreprendre pour permettre le maintien de X.________ à l’EPSM La Sylvabelle en cas de changement de régime. La prolongation de la mesure thérapeutique institutionnelle ne devra par conséquent être ordonnée que pour le temps nécessaire à l’exécution de ces démarches et, dans la mesure du possible, pour permettre une admission du recourant à l’EPSM La Sylvabelle sous le régime de la privation de liberté à des fins d’assistance, si nécessaire assorti du plan de traitement adapté (art. 433 CC). En tout état, vu l’importance accrue qu’il y a lieu d’accorder au principe de la proportionnalité dans la présente cause, la mesure ne devra pas être prolongée plus d’une année. A l’échéance de ce délai, sauf fait nouveau, le Juge d’application des peines devra sérieusement envisager de lever la mesure, étant précisé qu’il pourra avoir mis à profit ce même délai pour signaler le cas du recourant à la justice de paix compétente, en vertu de l’art. 62c al. 5 CP. 3. En définitive, le recours doit être admis, l’ordonnance du 30 septembre 2019 annulée et le dossier de la cause renvoyé au Juge d’application des peines pour complément d’instruction et nouvelle décision dans le sens des considérants. Les frais de la procédure de recours, constitués de l’émolument d'arrêt, par 2’200 fr. (art. 20 al. 1 TFIP [Tarif des frais de procédure et indemnités en matière pénale du 28 septembre 2010 ; BLV 312.03.1]), ainsi que des frais imputables à la défense d’office (art. 422 al. 1 et 2 let. a CPP), fixés à 615 fr. 20, qui comprennent des honoraires par 560 fr., des débours forfaitaires par 11 fr. 20 (cf. art. 26b TFIP, qui renvoie à l'art. 3bis RAJ [Règlement sur l’assistance judiciaire en matière civile du 7 décembre 2010 ; BLV 211.02.3]) et la TVA sur le tout au taux de 7,7%, par 44 fr., seront laissés à la charge de l’Etat (art. 428 al. 4 CPP). Par ces motifs, la Chambre des recours pénale prononce : I. Le recours est admis. II. L’ordonnance du 30 septembre 2019 est annulée. III. La cause est renvoyée au Juge d’application des peines pour complément d’instruction et nouvelle décision dans le sens des considérants. IV. L’indemnité due à Me Quentin Beausire, défenseur d’office du recourant, est fixée 615 fr. 20 (six cent quinze francs et vingt centimes). V. Les frais d’arrêt, par 2’200 fr. (deux mille deux cents francs), ainsi que l’indemnité allouée au défenseur d’office du recourant, par 615 fr. 20 (six cent quinze francs et vingt centimes), sont laissés à la charge de l’Etat. VI. L’arrêt est exécutoire. Le président :               La greffière : Du Le présent arrêt, dont la rédaction a été approuvée à huis clos, est notifié, par l'envoi d'une copie complète, à : - Me Quentin Beausire, avocat (pour X.________), - Ministère public central, et communiqué à : ‑ Mme la Juge d’application des peines, - Office d’exécution des peines (réf. : OEP/MES/52548/GRI), - M. Angelo Palanca, Office des curatelles et tutelles professionnelles, - EPSM La Sylvabelle,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consid. 1.2 et les références citées ; TF 6B_660/2019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