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993 vom 13. November 2019</w:t>
      </w:r>
    </w:p>
    <w:p>
      <w:r>
        <w:t>VD Tribunal cantonal, 2019-11-13, FR</w:t>
      </w:r>
    </w:p>
    <w:p>
      <w:r>
        <w:rPr>
          <w:b/>
        </w:rPr>
        <w:t xml:space="preserve">Quelle: </w:t>
      </w:r>
      <w:r>
        <w:t>https://mcp.opencaselaw.ch/entscheid/vd_findinfo_D_cision___2019___993</w:t>
      </w:r>
    </w:p>
    <w:p>
      <w:r>
        <w:t>FR: VD_FINDINFO Décision / 2019 / 993 du 13 novembre 2019</w:t>
      </w:r>
    </w:p>
    <w:p>
      <w:r>
        <w:t>IT: VD_FINDINFO Décision / 2019 / 993 del 13 novembre 2019</w:t>
      </w:r>
    </w:p>
    <w:p>
      <w:pPr>
        <w:pStyle w:val="Heading2"/>
      </w:pPr>
      <w:r>
        <w:t>Regeste</w:t>
      </w:r>
    </w:p>
    <w:p>
      <w:r>
        <w:t>DÉFENSE OBLIGATOIRE, CRÉDIBILITÉ, EXPERTISE, REJET DE LA DEMANDE, DOSSIER, ADMINISTRATION DES PREUVES | 130 let. c CPP (CH), 131 CPP (CH), 393 al. 1 let. a CPP (CH), 394 let. b CPP (CH)</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w:t>
      </w:r>
    </w:p>
    <w:p>
      <w:r>
        <w:rPr>
          <w:b/>
        </w:rPr>
        <w:t>E. 1.1</w:t>
      </w:r>
    </w:p>
    <w:p>
      <w:r>
        <w:t>Le recourant conteste tout d’abord le refus d’ordonner une expertise de crédibilité de la victime et le refus de verser au dossier un jugement concernant D.________, victime d’actes d’ordre sexuel, rendu en 2011 ou 2012.</w:t>
      </w:r>
    </w:p>
    <w:p>
      <w:r>
        <w:rPr>
          <w:b/>
        </w:rPr>
        <w:t>E. 1.1.1</w:t>
      </w:r>
    </w:p>
    <w:p>
      <w:r>
        <w:t>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 ATF 134 III 188 consid. 2.3; ATF 133 IV 139 consid. 4; ATF 99 Ia 437 consid. 1; TF 1B_189/2012 du 17 août 2012 consid. 1.2 ; TF 1B_688/2011 du 14 mars 2012). Cette règle comporte toutefois des exceptions, notamment lorsque le refus porte sur des moyens de preuve qui risquent de disparaître et qui visent des faits décisifs non encore élucidés (ATF 133 IV 335 consid. 4; ATF 101 Ia 161; ATF 98 Ib 282 consid. 4; TF 1B_189/2012 du 17 août 2012 consid. 1.2 ; TF 1B_688/2011 du 14 mars 2012 et les réf. citées). Par « préjudice juridique »,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w:t>
      </w:r>
    </w:p>
    <w:p>
      <w:r>
        <w:rPr>
          <w:b/>
        </w:rPr>
        <w:t>E. 1.1.2</w:t>
      </w:r>
    </w:p>
    <w:p>
      <w:r>
        <w:t>La question qui se pose est de savoir si les deux réquisitions de preuves formulées par le recourant pourraient être réitérées sans préjudice juridique pour le prévenu devant le tribunal de première instance. Tel est manifestement le cas en l’espèce. En effet, le jugement rendu en 2011 ou 2012 statuant sur des actes d’ordre sexuel dont aurait été victime D.________ ne va pas disparaître et sera toujours disponible, puisqu’il s’agit d’un document archivé par une autorité judiciaire. Quant à l’expertise de crédibilité, la mémoire de la victime peut certes s’atténuer avec le temps, mais cet argument est fortement relativisé par l’ancienneté des faits, qui se sont déroulés en 2013 ou 2014 et qui remontent donc à au moins cinq ans, ainsi que par le fait que cette expertise devrait porter sur une jeune femme née en 1994 et non sur un jeune enfant évoluant rapidement. Dans ces conditions, rien n’indique que l’expertise sollicitée ne pourrait pas, le cas échéant, être effectuée plus tard. En outre, comme retenu par le Ministère public, une expertise de crédibilité ne permettra pas de prouver avec certitude l’existence ou non du viol dénoncé. Ainsi, rien ne permet de retenir que le refus de ces deux réquisitions de preuves serait de nature à causer un préjudice irréparable au recourant, de sorte que le recours de T.________ est irrecevable en tant qu’il porte sur le refus d’ordon­ner une expertise de crédibilité de la victime et le refus de verser au dossier un jugement de 2011 ou 2012 concernant cette dernière.</w:t>
      </w:r>
    </w:p>
    <w:p>
      <w:r>
        <w:rPr>
          <w:b/>
        </w:rPr>
        <w:t>E. 1.2</w:t>
      </w:r>
    </w:p>
    <w:p>
      <w:r>
        <w:t>Le recourant conteste également le refus du Ministère public de retrancher une pièce du dossier.</w:t>
      </w:r>
    </w:p>
    <w:p>
      <w:r>
        <w:rPr>
          <w:b/>
        </w:rPr>
        <w:t>E. 1.2.1</w:t>
      </w:r>
    </w:p>
    <w:p>
      <w:r>
        <w:t>Une ordonnance du ministère public refusant de retrancher des pièces du dossier est susceptible de recours selon les art. 393 ss CPP (Stephenson/Thiriet, in : Niggli/Heer/Wiprächtiger [éd.], Basler Kommentar, Schwei­zerische Straf­prozess­ordnung, Jugendstrafprozessordnung, 2 e éd., Bâle 2014, n. 10 ad art. 393 CPP ; CREP 29 mars 2018/236). Ce recours s’exerce par écrit, dans un délai de dix jours dès la notification de la décision attaquée (cf. art. 384 let. b CPP), auprès de l’autorité de recours (art. 396 al. 1 CPP ; cf. art. 20 al. 1 let. b CPP) qui, dans le canton de Vaud, est la Chambre des recours pénale du Tribunal cantonal (art. 13 LVCPP [Loi d’introduction du Code de procédure pénale suisse du 19 mai 2019 ; BLV 312.01] ; art. 80 LOJV [Loi d’organisation judiciaire du 12 décembre 1979 ; BLV 173.01]).</w:t>
      </w:r>
    </w:p>
    <w:p>
      <w:r>
        <w:rPr>
          <w:b/>
        </w:rPr>
        <w:t>E. 1.2.2</w:t>
      </w:r>
    </w:p>
    <w:p>
      <w:r>
        <w:t>Interjeté en temps utile devant l’autorité compétente par un prévenu qui a qualité pour recourir (art. 382 al. 1 CPP), et satisfaisant aux conditions de forme prescrites (art. 385 al. 1 CPP), le recours de T.________ est recevable en tant qu’il concerne le refus de retrancher du dossier le procès-verbal de son audition du 13 juin 2019 par la police dans le cadre d’une enquête parallèle pour contravention contre l’intégrité sexuelle.</w:t>
      </w:r>
    </w:p>
    <w:p>
      <w:r>
        <w:rPr>
          <w:b/>
        </w:rPr>
        <w:t>E. 2</w:t>
      </w:r>
    </w:p>
    <w:p>
      <w:r>
        <w:t>CP (Code pénal suisse du 21 décembre 1937 ; RS 311.0), tout d’abord en qualité de personne appelée à donner des renseignements, puis en qualité de prévenu. Lorsque la police l’a informé qu’il était désormais entendu en qualité de prévenu, T.________ a expressément renoncé à être assisté d’un avocat et a accepté de répondre aux questions qui lui étaient posées (PV aud. 6 R. 8). Par ailleurs, force est de constater que les faits qui ont justifié l’audition du prévenu du 13 juin 2019 portent sur une contravention et qu’ils ont un caractère « peu grave » au sens de la doctrine précitée. Au reste, quoi qu’en dise le recourant, il n’était pas d’emblée reconnaissable pour la police qui a procédé à sa première audition en tant que personne appelée à donner des renseignements, puis en tant que prévenu, que T.________ était schizophrène, de sorte que l’on ne pouvait pas exiger de sa part, à ce stade, qu’elle interroge spécifiquement le recourant sur l’existence d’éventuels troubles psychiques ou d’un représentant légal, ce d’autant qu’il a donné l’impression de comprendre le sens des questions posées et qu’il a parfaitement été en mesure d’y répondre. Dans ces conditions, la Cour de céans considère que l’audition du prévenu du 13 juin 2019 s’est tenue dans le strict respect des règles procédurales et qu’elle ne nécessitait par conséquent pas obligatoirement la présence d’un défen­seur.</w:t>
      </w:r>
    </w:p>
    <w:p>
      <w:r>
        <w:rPr>
          <w:b/>
        </w:rPr>
        <w:t>E. 2.1</w:t>
      </w:r>
    </w:p>
    <w:p>
      <w:r>
        <w:t>et l'arrêt cité). L'application de l'art. 130 let. c CPP présuppose aussi que le prévenu ne puisse être défendu par ses représentants légaux. Ainsi, il n'est en principe pas nécessaire de désigner un défenseur si le prévenu a un représentant légal et que celui-ci est apte à défendre ses intérêts; tel serait en principe le cas d'un avocat expérimenté ou d'un curateur professionnel (TF 6B_79/2017 du 22 mars 2017 consid. 2.1 ; TF 1B_279/2014 du 3 novembre 2014 consid. 2.1.2 publié in SJ 2015 I 172 et les références citées). Dans cette dernière hypothèse, la doctrine, préconise cependant que la représentation ne puisse être assurée que pour des probléma­tiques liées à des contraventions ou en lien avec des cas dits bagatelles (Moreillon/ Parein-Reymond, Petit commentaire du Code de procédure pénale, n. 18 ad art. 130 CPP; Ruckstuhl, in Niggli/Heer/ Wiprächtiger [éd.], Basler Kommentar, Schweizeri­sche Strafprozessord­nung, Art. 1-195 StPO, 2 e éd., Bâle 2014, n. 25 ad art. 130 CPP).</w:t>
      </w:r>
    </w:p>
    <w:p>
      <w:r>
        <w:rPr>
          <w:b/>
        </w:rPr>
        <w:t>E. 2.2.1</w:t>
      </w:r>
    </w:p>
    <w:p>
      <w:r>
        <w:t>Aux termes de l’art. 130 CPP, le prévenu doit avoir un défenseur notamment lorsqu’en raison de son état physique ou psychique ou pour d’autres motifs, il ne peut pas suffisamment défendre ses intérêts dans la procédure et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(ATF 143 I 164 consid. 2.4.4 ; TF 6B_342/2018 du 6 février 2019 consid.</w:t>
      </w:r>
    </w:p>
    <w:p>
      <w:r>
        <w:rPr>
          <w:b/>
        </w:rPr>
        <w:t>E. 2.2.2</w:t>
      </w:r>
    </w:p>
    <w:p>
      <w:r>
        <w:t>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Selon la jurisprudence de la Chambre des recours pénale (CREP 15 avril 2016/247 consid. 2.1), la défense obligatoire doit être garantie dès la première audition, au sens temporel du mot, c'est-à-dire même si celle-ci est menée par la police, mais avant l'ouverture de l'instruction par le ministère public (JdT 2012 III 141; CREP 10 septembre 2014/662; CREP 10 novembre 2011/492 et les références citées). Cette conclusion est en accord avec la systématique de la loi qui exige qu'une défense obligatoire soit déjà garantie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(JdT 2012 III 141 et réf. cit.; CREP 22 février 2016/124). Il convient de distinguer deux cas de figure: soit la nécessité d'un défenseur était reconnaissable au moment de l'administration de la preuve et, dans ce cas, l'exploitation de la preuve sans le défenseur n'est en principe pas admissible et doit être répétée;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op. cit., n. 11 ad art. 131 CPP). En d’autres termes, est seule pertinente dans une telle situation la question de savoir si le cas de défense obligatoire était déjà reconnaissable (CREP 29 mars 2018/236 précité). Selon l’art. 141 al. 5 CPP, les pièces relatives aux moyens de preuves non exploitables doivent être retirées du dossier pénal, conservées à part jusqu’à la clôture définitive de la procédure, puis détruites.</w:t>
      </w:r>
    </w:p>
    <w:p>
      <w:r>
        <w:rPr>
          <w:b/>
        </w:rPr>
        <w:t>E. 2.3</w:t>
      </w:r>
    </w:p>
    <w:p>
      <w:r>
        <w:t>En l’espèce, T.________ est au bénéfice d’une mesure de curatelle de portée générale, dont le mandat a été confié à un curateur profes­sionnel de l’OCTP (P. 25/2 et P. 44 p. 5). Le 13 juin 2019, la police a procédé à l’audition de T.________ dans le cadre d’une instruction pénale ouverte contre inconnu pour désagréments causés par la confrontation à un acte d’ordre sexuel au sens de l’art. 198 al.</w:t>
      </w:r>
    </w:p>
    <w:p>
      <w:r>
        <w:rPr>
          <w:b/>
        </w:rPr>
        <w:t>E. 3</w:t>
      </w:r>
    </w:p>
    <w:p>
      <w:r>
        <w:t>En définitive, le recours interjeté par T.________ doit être rejeté dans la mesure où il est recevable et l’ordonnance entreprise confirmée. La liste des opérations produites par Me Daniel Trajilovic, défenseur d’office de T.________, fait état de 9 heures et 50 minutes d’activité d’avocat stagiaire, de 30 minutes d’activité d’avocat breveté et de 58 fr. 59 de débours (P. 55/3). Au regard de la nature de la présente cause et du mémoire de recours qui comporte sept pages entières, conclusions comprises, le temps consacré par l’avo­cat stagiaire aux recherches, à la rédaction du recours et aux corrections apportées à celui-ci, invoqué à hauteur de 9 heures et 50 minutes, est excessif et doit être réduit à</w:t>
      </w:r>
    </w:p>
    <w:p>
      <w:r>
        <w:rPr>
          <w:b/>
        </w:rPr>
        <w:t>E. 5</w:t>
      </w:r>
    </w:p>
    <w:p>
      <w:r>
        <w:t>heures. Il convient par conséquent de retenir un total 5 heures d’activité d’avocat stagiaire au tarif horaire de 110 fr., soit un montant de 550 fr., 30 minutes d’activité d’avocat breveté au tarif horaire de 180 fr., soit un montant de 90 fr., ainsi que des débours forfaitaires à concurrence de 2%, par 12 fr. 80, plus un montant correspondant à la TVA, par 50 fr. 25 (art. 2 al. 1 let. a et let. b, 3bis al. 1 RAJ [Règlement sur l’assistance judiciaire en matière civile du 7 décembre 2010; BLV 211.02.3], applicables par renvoi de l’art. 26b TFIP [Tarif des frais de procédure et indemnités en matière pénale du 28 septembre 2010; BLV 312.03.1]). L’indemnité de défenseur d’office de Me Daniel Trajilovic s’élève ainsi à 703 fr. 05 pour la procédure de recours. Les frais de la procédure de recours, constitués en l’espèce de l’émolument d'arrêt, par 1'100 fr. (art. 20 al. 1 TFIP), et des frais imputables à la défense d’office (art. 422 al. 1 et 2 let. a CPP), fixés à 703 fr. 05, seront mis à la charge de T.________,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L’ordonnance est confirmée. III. L’indemnité allouée au défenseur d’office de T.________ est fixée à 703 fr. 05 (sept cent trois francs et cinq centimes). IV. Les frais d’arrêt, par 1'100 fr. (mille cent francs), ainsi que l’indemnité due au défenseur d’office de T.________, par 703 fr. 05 (sept cent trois francs et cinq centimes), sont mis à la charge de ce dernier. V. Le remboursement à l’Etat de l’indemnité allouée au chiffre III ci-dessus ne sera exigible que pour autant que la situation économique de T.________ le permette. VI. L’arrêt est exécutoire. Le président :               La greffière : Du Le présent arrêt, dont la rédaction a été approuvée à huis clos, est notifié, par l'envoi d'une copie complète, à : - Me Daniel Trajilovic, avocat (pour T.________), - Me Aurélien Michel, avocat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