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989 vom 2. Dezember 2019</w:t>
      </w:r>
    </w:p>
    <w:p>
      <w:r>
        <w:t>VD Tribunal cantonal, 2019-12-02, FR</w:t>
      </w:r>
    </w:p>
    <w:p>
      <w:r>
        <w:rPr>
          <w:b/>
        </w:rPr>
        <w:t xml:space="preserve">Quelle: </w:t>
      </w:r>
      <w:r>
        <w:t>https://mcp.opencaselaw.ch/entscheid/vd_findinfo_D_cision___2019___989</w:t>
      </w:r>
    </w:p>
    <w:p>
      <w:r>
        <w:t>FR: VD_FINDINFO Décision / 2019 / 989 du 2 décembre 2019</w:t>
      </w:r>
    </w:p>
    <w:p>
      <w:r>
        <w:t>IT: VD_FINDINFO Décision / 2019 / 989 del 2 dicembre 2019</w:t>
      </w:r>
    </w:p>
    <w:p>
      <w:pPr>
        <w:pStyle w:val="Heading2"/>
      </w:pPr>
      <w:r>
        <w:t>Regeste</w:t>
      </w:r>
    </w:p>
    <w:p>
      <w:r>
        <w:t>DÉTENTION PROVISOIRE, PROPORTIONNALITÉ, MESURE DE SUBSTITUTION À LA DÉTENTION, RISQUE DE COLLUSION | 221 al. 1 let. b CPP (CH), 237 CPP (CH)</w:t>
      </w:r>
    </w:p>
    <w:p>
      <w:pPr>
        <w:pStyle w:val="Heading2"/>
      </w:pPr>
      <w:r>
        <w:t>Erwägungen</w:t>
      </w:r>
    </w:p>
    <w:p>
      <w:r>
        <w:rPr>
          <w:b/>
        </w:rPr>
        <w:t>E. 1</w:t>
      </w:r>
    </w:p>
    <w:p>
      <w:r>
        <w:t>Aux termes de l’art. 393 al. 1 let. c CPP (Code de procédure pénale suisse du 5 octobre 2007; RS 312.0), ,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ce propos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qu’elle soit ordonnée ou non moyennant des mesures de substitution (ATF 137 IV 22 consid. 1.2 à 1.4 et les références citées, JdT 2011 IV 324, jurisprudence confirmée ultérieurement à l’ATF 137 IV 87 et à l’ATF 137 IV 230 consid. 1). Interjeté en temps utile auprès de l’autorité compétente et dans les formes prescrites (art. 385 al. 1 CPP), le recours du Ministère public est recevable.</w:t>
      </w:r>
    </w:p>
    <w:p>
      <w:r>
        <w:rPr>
          <w:b/>
        </w:rPr>
        <w:t>E. 2</w:t>
      </w:r>
    </w:p>
    <w:p>
      <w:r>
        <w:t>Le prévenu, dans ses déterminations du 28 novembre 2019, a requis son audition par la Cour de céans, ainsi que celle de son parrain.</w:t>
      </w:r>
    </w:p>
    <w:p>
      <w:r>
        <w:rPr>
          <w:b/>
        </w:rPr>
        <w:t>E. 2.1</w:t>
      </w:r>
    </w:p>
    <w:p>
      <w:r>
        <w:t>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qu’elles se prononcent (art. 390 al. 2 CPP). La décision est rendue par voie de circulation ou lors d’une délibération non publique (art. 390 al. 4 CPP). L’autorité de recours peut toutefois, en vertu de l’art. 390 al. 5 CPP, ordonner des débats, d’office ou à la demande d’une partie. Une telle démarche doit toutefois demeurer exceptionnelle (Message du 21 décembre 2005 relatif à l’unification du droit de la procédure pénale, FF 2006 p. 1297 ch. 2.9.2 ; TF 6B_803/2016 du 20 juillet 2017 consid. 1.2). Par ailleurs, l’art. 29 al. 2 Cst. (Constitution fédérale de la Confédération suisse du 18 avril 1999 ; RS 101) ne confère pas le droit d’être entendu oralement (ATF 134 I 140 consid. 5.3 et les références citées ; TF 1B_422/2014 du 20 janvier 2015 consid. 3.2).</w:t>
      </w:r>
    </w:p>
    <w:p>
      <w:r>
        <w:rPr>
          <w:b/>
        </w:rPr>
        <w:t>E. 2.2</w:t>
      </w:r>
    </w:p>
    <w:p>
      <w:r>
        <w:t>En l’espèce, dans la mesure où l’intéressé a pu faire valoir ses arguments dans le cadre de la procédure, son droit d’être entendu a été respecté. La Cour de céans n’est ainsi pas tenue de l’auditionner, ce qui ne semble pas utile en l’espèce au vu des arguments clairement exposés de part et d’autre (CREP 14 novembre 2019/920 consid. 2 ; CREP 11 juillet 2018/531 consid. 2 ; CREP 1 er avril 2014/248 consid. 6 et les références citées). Sa requête doit dès lors être rejetée.</w:t>
      </w:r>
    </w:p>
    <w:p>
      <w:r>
        <w:rPr>
          <w:b/>
        </w:rPr>
        <w:t>E. 3.1</w:t>
      </w:r>
    </w:p>
    <w:p>
      <w:r>
        <w:t>En vertu de l’art. 228 al. 1 CPP, le prévenu peut présenter en tout temps une demande de libération de la détention provisoire. Cette demande doit être admise si les conditions de la détention provisoire ne sont pas ou plus remplies.</w:t>
      </w:r>
    </w:p>
    <w:p>
      <w:r>
        <w:rPr>
          <w:b/>
        </w:rPr>
        <w:t>E. 3.2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4.1</w:t>
      </w:r>
    </w:p>
    <w:p>
      <w:r>
        <w:t>Le Ministère public reproche au Tribunal des mesures de contrainte d’avoir, après avoir constaté que les conditions de la détention provisoire de L.________ demeuraient réalisées, ordonné, en lieu et place de celle-ci, des mesures de substitution. Il fait tout d’abord valoir que de graves présomptions de culpabilité reposeraient sur le prévenu.</w:t>
      </w:r>
    </w:p>
    <w:p>
      <w:r>
        <w:rPr>
          <w:b/>
        </w:rPr>
        <w:t>E. 4.2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w:t>
      </w:r>
    </w:p>
    <w:p>
      <w:r>
        <w:rPr>
          <w:b/>
        </w:rPr>
        <w:t>E. 4.3</w:t>
      </w:r>
    </w:p>
    <w:p>
      <w:r>
        <w:t>En l’espèce, le Tribunal des mesures de contrainte, se référant à sa précédente ordonnance, a retenu que des présomptions suffisantes de culpabilité existaient à l’encontre de L.________, celui-ci ayant notamment admis les faits qui lui étaient reprochés relativement au brigandage. Le premier juge a relevé que les soupçons à l’encontre du prénommé s’étaient même renforcés, puisqu’il avait également admis, lors de sa dernière audition par la police, s’être adonné à un trafic de produits cannabiques entre les mois de novembre 2018 et d’août 2019, en œuvrant comme fournisseur ou intermédiaire pour de nombreux consommateurs. Cette appréciation ne prête pas le flanc à la critique et doit être confirmée, de sorte que la première condition posée par l’art. 221 al. 1 CPP est manifestement réalisée.</w:t>
      </w:r>
    </w:p>
    <w:p>
      <w:r>
        <w:rPr>
          <w:b/>
        </w:rPr>
        <w:t>E. 5.1</w:t>
      </w:r>
    </w:p>
    <w:p>
      <w:r>
        <w:t>Le Ministère public invoque l’existence de risques de collusion, de réitération et de fuite. S’agissant du risque de collusion, il reproche au Tribunal des mesures de contrainte d’avoir considéré que celui-ci, bien que réalisé, devait être relativisé. Il fait valoir à cet égard que le prévenu a commencé par contester les faits qui lui étaient reprochés, avant de les admettre, tout en les minimisant. S’agissant du brigandage, le recourant relève que les versions des faits présentées par les différents protagonistes ne concordent pas avec l’ensemble des éléments recueillis durant l’enquête. Quant au trafic de produits cannabiques reproché au prévenu, le Ministère public constate que son ampleur doit encore être déterminée avec précision et souligne que seuls deux individus ont pour l’heure été auditionnés dans ce cadre et que plusieurs éventuels clients du prévenu ou individus impliqués dans le trafic doivent encore être identifiés et entendus.</w:t>
      </w:r>
    </w:p>
    <w:p>
      <w:r>
        <w:rPr>
          <w:b/>
        </w:rPr>
        <w:t>E. 5.2</w:t>
      </w:r>
    </w:p>
    <w:p>
      <w:r>
        <w:t>Selon l’art. 221 al. 1 let. b CPP,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 Schmocker, op. cit., nn. 14 et 15 ad art. 221 CPP).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(ATF 137 IV 122 précité consid. 4.2 ; ATF 132 I 21 consid. 3.2 et les références citées ; TF 1B_208/2019 du 29 mai 2019 consid. 4.1). A cet égard, plus l'instruction se trouve à un stade avancé et les faits sont établis avec précision, plus les exigences relatives à la preuve de l'existence d'un risque de collusion sont élevées (ATF 137 IV 122 précité ; ATF 132 I 21 précité ; TF 1B_208/2019 précité).</w:t>
      </w:r>
    </w:p>
    <w:p>
      <w:r>
        <w:rPr>
          <w:b/>
        </w:rPr>
        <w:t>E. 5.3</w:t>
      </w:r>
    </w:p>
    <w:p>
      <w:r>
        <w:t>En l’espèce, c’est à juste titre que le recourant fait valoir que le risque de collusion est très élevé. En effet, bien que le prévenu ait fini par admettre les faits qui lui étaient reprochés s’agissant du brigandage – tout en les minimisant –, il existe encore des divergences entre les déclarations des différents protagonistes, qui se rejettent la responsabilité les uns sur les autres. A cet égard, bien qu’F.________ et D.________ soient actuellement détenus, tel n’est pas le cas d’X.________, mineur, qui pourrait être influencé par le prévenu, et de la victime, sur laquelle L.________ pourrait faire pression. S’agissant du trafic de stupéfiants reproché au prévenu, force est de constater que l’instruction se poursuit, l’ampleur de celui-ci n’étant pas encore déterminée, tout comme l’identité de toutes les personnes impliquées, qui devront encore être entendues. Au vu de ces éléments, le risque de collusion est manifeste et doit être retenu.</w:t>
      </w:r>
    </w:p>
    <w:p>
      <w:r>
        <w:rPr>
          <w:b/>
        </w:rPr>
        <w:t>E. 5.4</w:t>
      </w:r>
    </w:p>
    <w:p>
      <w:r>
        <w:t>Les conditions de l’art. 221 al. 1 CPP étant alternatives (TF 1B_249/2011 du 7 juin 2011 consid. 2.4), l’existence d’un risque de collusion dispense la Cour de céans d’examiner si la détention provisoire s’impose également en raison d’un autre risque. Toutefois et par surabondance, comme l’a relevé à juste titre le recourant, force est de constater que le risque de réitération ne saurait être nié dans la situation actuelle. En effet, bien que le casier judiciaire du prévenu soit vierge, celui-ci a notamment expliqué sa participation à l’attaque du 3 juillet 2019, qui était d’une grande brutalité, par la précarité de sa situation financière. Or, sa situation sociale reste à ce stade extrêmement précaire, celui-ci n’ayant pour l’heure aucun emploi et dépendant entièrement des services sociaux. En outre, il n’a eu de cesse de minimiser son implication dans des faits d’une extrême gravité, de sorte que le risque de réitération doit être retenu. Toutefois, ce risque étant accru par le désœuvrement actuel du prévenu, il y a lieu de relever que la production d’un contrat de travail ou d’apprentissage signé impliquant une occupation journalière de celui-ci permettrait de le diminuer significativement.</w:t>
      </w:r>
    </w:p>
    <w:p>
      <w:r>
        <w:rPr>
          <w:b/>
        </w:rPr>
        <w:t>E. 6.1</w:t>
      </w:r>
    </w:p>
    <w:p>
      <w:r>
        <w:t>Le Ministère public soutient qu’au vu de la gravité des faits reprochés au prévenu, aucune autre mesure que la détention provisoire ne serait de nature à prévenir valablement les risques retenus.</w:t>
      </w:r>
    </w:p>
    <w:p>
      <w:r>
        <w:rPr>
          <w:b/>
        </w:rPr>
        <w:t>E. 6.2</w:t>
      </w:r>
    </w:p>
    <w:p>
      <w:r>
        <w:t>Conformément au principe de la proportionnalité (art. 36 al. 3 Cst.;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SJ 2017 I 233 ; TF 1B_362/2019 du 17 septembre 2019 consid. 3.1).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précité ; ATF 133 I 270 consid. 2.2 ; Schmocker, op. cit., n. 2 ad art. 237 CPP).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6.3.1</w:t>
      </w:r>
    </w:p>
    <w:p>
      <w:r>
        <w:t>Le Tribunal des mesures de contrainte a considéré, au vu de l’avancée de l’enquête et de l’implication de L.________ dans le brigandage, qu’une interdiction pour celui-ci de prendre contact avec les protagonistes de ces faits, notamment M.________, X.________, F.________ et D.________, devait suffire à pallier le risque de collusion retenu. S’agissant du trafic de produits cannabiques qui lui est reproché, cette autorité a estimé qu’au vu des éléments déjà recueillis, notamment les déclarations du prévenu et celles de deux clients supposés, le fait qu’une ou plusieurs nouvelles auditions devaient encore être fixées n’apparaissait pas suffisant pour justifier le maintien en détention du prévenu. En l’espèce, comme l’a à juste titre relevé le recourant, les mesures de substitution prononcées par le premier juge apparaissent clairement insuffisantes pour contenir efficacement le risque de collusion retenu. Ces mesures semblent en effet dérisoires compte tenu de la gravité des faits reprochés au prévenu, qui pourrait aisément violer ces interdictions pour entrer en contact avec son complice mineur ou avec la victime. En outre, elles ne tiennent absolument pas compte des investigations policières en cours pour déterminer l’ampleur du trafic de stupéfiants auquel s’est livré le prévenu, dans le cadre desquelles des auditions doivent encore être menées. Quant à l’obligation faite au prévenu d’être domicilié rue [...] à compter du 1 er décembre 2019 et de déposer l’ensemble de ses documents officiels en mains de la direction de la procédure, soit en particulier son passeport belge et son permis C, il s’agit de mesures prononcées par le premier juge pour pallier un éventuel risque de fuite, lequel n’a pas été examiné en l’espèce. Elles ne sont en tous les cas pas propres à pallier le risque de collusion retenu. S’agissant enfin du risque de réitération retenu, compte tenu du jeune âge du prévenu et des objectifs de réinsertion, qui demeurent primordiaux en l’espèce, la Cour de céans rappelle que si le prévenu produit un contrat de travail signé attestant de ce qu’il est occupé journellement, la question d’éventuelles mesures de substitution – incluant le dépôt de ses papiers, sa domiciliation à [...] auprès de son parrain et le début effectif de son apprentissage ou de sa prise d’emploi – devra être revue.</w:t>
      </w:r>
    </w:p>
    <w:p>
      <w:r>
        <w:rPr>
          <w:b/>
        </w:rPr>
        <w:t>E. 6.3.2</w:t>
      </w:r>
    </w:p>
    <w:p>
      <w:r>
        <w:t>Pour le surplus, le prévenu s’expose concrètement, au regard de la gravité des infractions qui lui sont reprochées, à une peine d’une durée nettement supérieure à la période de détention provisoire qu’il a subie le 29 novembre 2019, de sorte que son maintien en détention provisoire jusqu’à cette date respecte le principe de la proportionnalité. Le Ministère public a requis la prolongation de la détention provisoire de L.________ pour une durée de trois mois, soit jusqu’au 15 février 2020. Toutefois, la Cour de céans ne peut pas se prononcer sur la demande de prolongation de la détention provisoire formulée par le Ministère public cantonal Strada, afin de préserver le droit du prévenu à une double instance et les garanties procédurales du Tribunal des mesures de contrainte. Il appartiendra dès lors au Tribunal des mesures de contrainte de statuer dans les plus brefs délais sur la requête de prolongation de la détention provisoire formulée par le Ministère public, le prévenu étant maintenu en détention provisoire jusqu’à droit connu sur la décision du Tribunal des mesures de contrainte sur ce point.</w:t>
      </w:r>
    </w:p>
    <w:p>
      <w:r>
        <w:rPr>
          <w:b/>
        </w:rPr>
        <w:t>E. 7</w:t>
      </w:r>
    </w:p>
    <w:p>
      <w:r>
        <w:t>En définitive, le recours doit être partiellement admis et l’ordonnance attaquée réformée dans le sens des considérants qui précèdent. Les frais de la procédure de recours, constitués en l’espèce de l’émolument d'arrêt, par 1’650 fr. (art. 20 al. 1 TFIP [Tarif des frais de procédure et indemnités en matière pénale du 28 septembre 2010 ; BLV 312.03.1]), et des frais imputables à la défense d’office (art. 422 al. 1 et 2 let. a CPP), fixés à 360 fr., auxquels il convient d’ajouter des débours forfaitaires à concurrence de 2 % (art. 3 bis al. 1 RAJ [Règlement du 7 décembre 2010 sur l'assistance judiciaire en matière civile ; BLV 211.02.3], applicable par renvoi de l’art. 26b TFIP), par 7 fr. 20, plus la TVA, par 28 fr. 25, soit à 395 fr. 45 au total, seront laissés à la charge de l’Etat. Par ces motifs, la Chambre des recours pénale prononce : I. Le recours est partiellement admis. II. L’ordonnance du 15 novembre 2019 est réformée aux chiffre II, III et IV de son dispositif, ainsi que par l’ajout d’un chiffre II bis , comme il suit : « II. constate que la détention provisoire de L.________ est maintenue à tout le moins jusqu’au 29 novembre 2019 ; II bis . maintient le prévenu en détention provisoire jusqu’à droit connu sur la décision du Tribunal des mesures de contrainte quant à la prolongation de la détention provisoire ; III. supprimé ; IV. supprimé ; » L’ordonnance est confirmée pour le surplus. III. L’indemnité allouée au défenseur d’office de L.________ est fixée à 395 fr. 45 (trois cent nonante-cinq francs et quarante-cinq centimes). IV. Les frais d’arrêt, par 1’650 fr. (mille six cent cinquante francs), ainsi que l’indemnité due au défenseur d’office de L.________, par 395 fr. 45 (trois cent nonante-cinq francs et quarante-cinq centimes), sont laissés à la charge de l’Etat. V. L’arrêt est exécutoire. Le président :               La greffière : Du Le présent arrêt, dont la rédaction a été approuvée à huis clos, est notifié, par l'envoi d'une copie complète, à : - Me Gisèle de Benoit, avocate (pour L.________) (et par efax), - Ministère public central (et par efax), et communiqué à : ‑ Mme la Présidente du Tribunal des mesures de contrainte (et par efax), - Mme la Procureure cantonale Strada (et par efax), - Prison de la Croisée (et par efax), - M. M.________,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