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96 vom 1. Februar 2019</w:t>
      </w:r>
    </w:p>
    <w:p>
      <w:r>
        <w:t>VD Tribunal cantonal, 2019-02-01, FR</w:t>
      </w:r>
    </w:p>
    <w:p>
      <w:r>
        <w:rPr>
          <w:b/>
        </w:rPr>
        <w:t xml:space="preserve">Quelle: </w:t>
      </w:r>
      <w:r>
        <w:t>https://mcp.opencaselaw.ch/entscheid/vd_findinfo_D_cision___2019___96</w:t>
      </w:r>
    </w:p>
    <w:p>
      <w:r>
        <w:t>FR: VD_FINDINFO Décision / 2019 / 96 du 1 février 2019</w:t>
      </w:r>
    </w:p>
    <w:p>
      <w:r>
        <w:t>IT: VD_FINDINFO Décision / 2019 / 96 del 1 febbraio 2019</w:t>
      </w:r>
    </w:p>
    <w:p>
      <w:pPr>
        <w:pStyle w:val="Heading2"/>
      </w:pPr>
      <w:r>
        <w:t>Regeste</w:t>
      </w:r>
    </w:p>
    <w:p>
      <w:r>
        <w:t>DÉTENTION PROVISOIRE, MESURE DE SUBSTITUTION À LA DÉTENTION, RISQUE DE FUITE, SÛRETÉS | 221 al. 1 let. a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respectivement le maintien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rPr>
          <w:b/>
        </w:rPr>
        <w:t>E. 2.2</w:t>
      </w:r>
    </w:p>
    <w:p>
      <w:r>
        <w:t>En l’espèce, le recourant ne conteste à juste titre pas l’existence de soupçons suffisants à son encontre, mais l’existence d’un risque de fuite et d’un risque de collusion, se plaignant à cet égard d’une motivation insuffisante de l’ordonnance attaquée et d’une constatation inexacte ou incomplète des faits pertinents. Il soutient en outre qu’en n’ordonnant aucune des mesures de substitution proposées et en n’examinant pas la possibilité de prolonger d’un mois seulement la détention provisoire, le Tribunal des mesures de contrainte aurait violé le principe de la proportionnalité.</w:t>
      </w:r>
    </w:p>
    <w:p>
      <w:r>
        <w:rPr>
          <w:b/>
        </w:rPr>
        <w:t>E. 3.1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consid. 5.2 ; ATF 134 I 83 consid. 4.1 ; TF 6B_1410/2017 du 15 juin 2018 consid. 2.1).</w:t>
      </w:r>
    </w:p>
    <w:p>
      <w:r>
        <w:rPr>
          <w:b/>
        </w:rPr>
        <w:t>E. 3.2</w:t>
      </w:r>
    </w:p>
    <w:p>
      <w:r>
        <w:t>En l’espèce, s’il faut admettre que la motivation du Tribunal des mesures de contrainte, qui se contente pour l’essentiel de se référer à sa précédente ordonnance et d’indiquer qu’il adhère aux motifs de la demande de prolongation de la détention provisoire déposée par le Ministère public, est plutôt sommaire, force est toutefois de considérer qu’elle répond encore aux exigences minimales de motivation évoquées ci-dessus et que le recourant a été en mesure de l’attaquer en connaissance de cause. Quoi qu'il en soit, même en admettant l’existence du vice formel invoqué, celui-ci serait guéri en procédure de recours, l'intéressé ayant eu la possibilité de s'exprimer et de recevoir une décision motivée de la Chambre des recours pénale, qui dispose d'un pouvoir d'examen complet en fait et en droit (art. 393 al. 2 CPP ; CREP 10 août 2018/603 consid. 2.2 et les références citées).</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4.2</w:t>
      </w:r>
    </w:p>
    <w:p>
      <w:r>
        <w:t>En l’espèce, ressortissant du Nigéria, le prévenu vit en Allemagne avec son épouse et leurs deux enfants. Il n’a aucune attache en Suisse, où il s’est par ailleurs présenté par le passé sous une tout autre identité. Il est soupçonné d’avoir pris part, en tant que transporteur, à un trafic de cocaïne de grande ampleur, de sorte qu’il encourt une peine conséquente. Il est ainsi fort à craindre qu’il ne se tienne pas à la disposition des autorités suisses et ne se présente pas devant ses juges. Le risque de fuite est donc concret, ce qui dispense d’examiner s’il existe également un risque de collusion, dès lors que la réalisation d'un seul risque de l'art. 221 CPP suffit pour justifier la détention provisoire (TF 1B_242/2016 du 21 juillet 2016 consid. 5).</w:t>
      </w:r>
    </w:p>
    <w:p>
      <w:r>
        <w:rPr>
          <w:b/>
        </w:rPr>
        <w:t>E. 5.1</w:t>
      </w:r>
    </w:p>
    <w:p>
      <w:r>
        <w:t>Conformément au principe de la proportionnalité (cf.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(Schmocker, op. cit., n. 2 ad art. 237 CPP ; ATF 142 IV 367 consid. 2.1, SJ 2017 I 233 ; ATF 133 I 270 consid. 2.2 ; TF 1B_165/2012 du 12 avril 2012 consid. 2.3).</w:t>
      </w:r>
    </w:p>
    <w:p>
      <w:r>
        <w:rPr>
          <w:b/>
        </w:rPr>
        <w:t>E. 5.2</w:t>
      </w:r>
    </w:p>
    <w:p>
      <w:r>
        <w:t>En l’espèce, force est de constater qu’aucune des mesures de substitution proposées par le prévenu n’est susceptible d’être ordonnée de manière à prévenir valablement le risque de fuite redouté. L’assignation à résidence en Allemagne (art. 237 al. 2 let. c CPP) et l’obligation de se présenter régulièrement à un service administratif allemand (art. 237 al. 2 let. d CPP), telles que proposées par le prévenu, ne sauraient être ordonnées par les autorités pénales suisses. En effet, les mesures de substitution à la détention avant jugement, au sens des art. 237 ss CPP, constituent des mesures de contrainte au sens des art. 196 ss CPP, qui ne peuvent pas être ordonnées sur le territoire d’un Etat étranger en violation de la souveraineté de celui-ci. En outre, ces mesures ne garantiraient en rien la comparution du prévenu devant les autorités pénales suisses. Par ailleurs, la saisie des papiers d’identité (art. 237 al. 2 let. b CPP) ne peut être ordonnée qu’à l’égard d’un prévenu qui reste en Suisse ; la saisie des papiers d’identité d’un étranger autorisé à retourner à l’étranger, et qui doit pouvoir justifier de son identité à l’entrée dans le pays dans lequel il se rend, n’est ainsi pas envisageable. Quant à la libération moyennant sûretés (art. 237 al. 2 let. a et 238 CPP), elle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 TF 1P.165/2006 du 19 avril 2006 consid. 3.2.1, publié in SJ 2006 I p. 395 ; TF 1B_576/2012 du 19 octobre 2012 consid. 5.3). Il convient de faire preuve de prudence quant à l'origine des fonds proposés comme sûretés (TF 1B_576/2012 du 19 octobre 2012 consid. 5.3). Enfin, si la caution doit être fournie par un tiers, il y a lieu de prendre en considération les relations personnelles et financières du prévenu avec cette personne (TF 1P.690/2004 du 14 décembre 2004 consid. 2.4.3 et les références citées). En l’absence de renseignements suffisants sur les personnes appelées à servir de caution et sur l’origine des fonds proposés, il n’est pas possible d’apprécier la garantie apportée (TF 1B_576/2012 du 19 octobre 2012 consid. 5.3). Or, en l’espèce, le recourant ne fournit aucun renseignement, ni dans ses déterminations adressées au Tribunal des mesures de contrainte ni dans son recours, sur le montant et sur l’origine des fonds proposés à titre de sûretés, de sorte qu’il est impossible d’apprécier le caractère approprié de la garantie proposée abstraitement.</w:t>
      </w:r>
    </w:p>
    <w:p>
      <w:r>
        <w:rPr>
          <w:b/>
        </w:rPr>
        <w:t>E. 6</w:t>
      </w:r>
    </w:p>
    <w:p>
      <w:r>
        <w:t>Dès lors que la prolongation de la détention provisoire est ordonnée en raison du risque de fuite, la durée de trois mois ordonnée respecte manifestement le principe de la proportionnalité, au vu de la peine susceptible d’être prononcée en cas de condamnation et de la durée de la détention provisoire subie à ce jour et au terme de la prolongation ordonnée.</w:t>
      </w:r>
    </w:p>
    <w:p>
      <w:r>
        <w:rPr>
          <w:b/>
        </w:rPr>
        <w:t>E. 7</w:t>
      </w:r>
    </w:p>
    <w:p>
      <w:r>
        <w:t>En définitive, le recours, manifestement mal fondé, doit être rejeté sans autre échange d’écritures (art. 390 al. 2 CPP) et l’ordonnance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17 janvier 2019 est confirmée. III. L’indemnité allouée au défenseur d’office du recourant est fixée à 387 fr. 70 (trois cent huitante-sept francs et septante centimes). IV. Les frais d’arrêt, par 990 fr. (neuf cent nonante francs), ainsi que l’indemnité due au défenseur d’office du recourant, par 387 fr. 70 (trois cent huitante-sept francs et septante centimes), sont mis à la charge de ce dernier. V. Le remboursement à l'Etat de l'indemnité allouée au chiffre III ci-dessus ne sera exigible que pour autant que la situation économique du recourant le permette. VI. L’arrêt est exécutoire. Le président :               La greffière : Du Le présent arrêt, dont la rédaction a été approuvée à huis clos, est notifié, par l'envoi d'une copie complète, à : - Me Elodie Surchat, avocate (pour E.________),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