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959 vom 20. November 2019</w:t>
      </w:r>
    </w:p>
    <w:p>
      <w:r>
        <w:t>VD Tribunal cantonal, 2019-11-20, FR</w:t>
      </w:r>
    </w:p>
    <w:p>
      <w:r>
        <w:rPr>
          <w:b/>
        </w:rPr>
        <w:t xml:space="preserve">Quelle: </w:t>
      </w:r>
      <w:r>
        <w:t>https://mcp.opencaselaw.ch/entscheid/vd_findinfo_D_cision___2019___959</w:t>
      </w:r>
    </w:p>
    <w:p>
      <w:r>
        <w:t>FR: VD_FINDINFO Décision / 2019 / 959 du 20 novembre 2019</w:t>
      </w:r>
    </w:p>
    <w:p>
      <w:r>
        <w:t>IT: VD_FINDINFO Décision / 2019 / 959 del 20 novembre 2019</w:t>
      </w:r>
    </w:p>
    <w:p>
      <w:pPr>
        <w:pStyle w:val="Heading2"/>
      </w:pPr>
      <w:r>
        <w:t>Regeste</w:t>
      </w:r>
    </w:p>
    <w:p>
      <w:r>
        <w:t>DÉTENTION POUR DES MOTIFS DE SÛRETÉ | 227 CPP (CH), 229 al. 1 CPP (CH), 229 al. 3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et 3.2).</w:t>
      </w:r>
    </w:p>
    <w:p>
      <w:r>
        <w:rPr>
          <w:b/>
        </w:rPr>
        <w:t>E. 3.2</w:t>
      </w:r>
    </w:p>
    <w:p>
      <w:r>
        <w:t>Aux termes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n'importe quel retard n'est pas suffisant pour justifier l'élargissement du prévenu. Il doit s'agir d'un manquement particulièrement grave, faisant au surplus apparaître que l'autorité de poursuite n'est plus en mesure de conduire la procédure à chef dans un délai raisonnable (TF 1B_97/2007 du 20 juin 2007 consid. 3.1). Après la clôture de l'instruction, le prévenu doit en principe être renvoyé devant le juge du fond dans un délai qui, pour être conforme aux exigences des art. 10 Cst. et 5 par.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1P.750/1999 du 23 décembre 1999 consid. 2d/ee). Un délai de quatre mois entre le renvoi et le jugement, même s'il n'est pas justifié par les difficultés particulières de la cause, peut être considéré comme admissible et ne saurait justifier l'élargissement du prévenu à quelques semaines de la date du jugement (TF 1B_97/2007 du 20 juin 2007 consid. 3.2 ; CREP 22 février 2018/143 ; CREP 6 décembre 2017/841). Dans tous les cas, l'Etat ne peut pas se prévaloir d'un manque de personnel ou d'une surcharge durable de ses autorités judiciaires ; il est tenu de doter ses tribunaux de personnel ou de moyens leur permettant de rendre la justice dans des délais appropriés, de sorte que des motifs d'ordre organisationnel ne sauraient justifier un délai de cinq mois et demi entre le renvoi et le jugement (TF 1B_313/2012 du 15 juin 2012 consid.</w:t>
      </w:r>
    </w:p>
    <w:p>
      <w:r>
        <w:rPr>
          <w:b/>
        </w:rPr>
        <w:t>E. 3.3</w:t>
      </w:r>
    </w:p>
    <w:p>
      <w:r>
        <w:t>En l'espèce, l'acte d'accusation a été notifié au tribunal de première instance le 1 er novembre 2019 et les débats ont été fixés au 24 février 2020, de sorte qu'il se sera écoulé un peu moins de quatre mois entre le renvoi et le jugement. Selon la jurisprudence, même si la cause ne présente pas de difficultés particulières, ce délai doit être considéré comme admissible. Le grief du recourant est par conséquent infondé. Au demeurant, dans la mesure où le prévenu est détenu depuis le 10 février 2019 et a été renvoyé devant le Tribunal correctionnel, lequel est compétent lorsque la peine encourue est supérieure à 12 mois (art. 9 al. 2 LVCPP [loi vaudoise d’introduction du Code de procédure pénale suisse du 19 mai 2009 ; BLV 312.01]), le principe de proportionnalité est respecté.</w:t>
      </w:r>
    </w:p>
    <w:p>
      <w:r>
        <w:rPr>
          <w:b/>
        </w:rPr>
        <w:t>E. 4.1</w:t>
      </w:r>
    </w:p>
    <w:p>
      <w:r>
        <w:t>Le recourant invoque une violation du principe de la présomption d'innocence, dès lors que le Tribunal des mesures de contrainte aurait préjugé de sa culpabilité sur des faits qu'il conteste, avant toute mesure d'instruction effectuée par le tribunal de première instance.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et les références jurisprudentielles citées).</w:t>
      </w:r>
    </w:p>
    <w:p>
      <w:r>
        <w:rPr>
          <w:b/>
        </w:rPr>
        <w:t>E. 4.3</w:t>
      </w:r>
    </w:p>
    <w:p>
      <w:r>
        <w:t>En l'espèce, il est vrai que le Tribunal des mesures de contrainte a tout d'abord repris in extenso le contenu de l'acte d'accusation du 31 octobre 2019. Toutefois, il s'est ensuite référé aux charges énoncées dans cet acte de procédure, ainsi qu'à ses précédentes ordonnances de prolongation de la détention provisoire, pour retenir que la condition de forts soupçons de culpabilité était toujours réalisée (p. 3, avant-dernier par.). Cela est conforme à l'art. 221 CPP. Pour le reste, l'argumentation du recourant est difficilement compréhensible, puisqu'il ne soutient même pas formellement que les sérieux soupçons de culpabilité pesant à son encontre n'existeraient plus et qu'il appartient au juge du fond – et non au juge des mesures de contrainte – de pondérer les différents moyens à disposition afin d'établir les faits pertinents pour l'application du droit matériel. En outre, dans ses ordonnances des 1 er mai 2019 et 6 août 2019, le Tribunal des mesures de contrainte avait déjà confirmé que les forts soupçons d'infractions à la Loi fédérale sur les stupéfiants reposaient notamment sur les aveux partiels du prévenu, son ingestion d'une centaine de fingers de cocaïne, son profil ADN et une de ses empreintes digitales trouvés sur le calepin contenant les listes de distribution de la cocaïne, ainsi que les extractions des données des téléphones portables des divers individus impliqués dans le trafic de cocaïne. Ces indices excluent toute violation du principe de la présomption d'innocence sous l'angle de l'art. 221 CPP.</w:t>
      </w:r>
    </w:p>
    <w:p>
      <w:r>
        <w:rPr>
          <w:b/>
        </w:rPr>
        <w:t>E. 5</w:t>
      </w:r>
    </w:p>
    <w:p>
      <w:r>
        <w:t>Il résulte de ce qui précède que le recours, manifestement mal fondé, doit être rejeté sans échange d'écritures (art. 390 al. 2 CPP) et l'ordonnance entreprise confirmée. Les frais de la procédure de recours sont fixés à 990 fr. (art. 20 al. 1 TFIP [Tarif des frais de procédure et indemnités en matière pénale du 28 septembre 2010 ; BLV 312.03.1]). La note d'honoraires du défenseur d'office du recourant, Me Julien Perrin, sera réduite tant au regard de la simplicité de l'objet du recours que des arguments soulevés. Il sera retenu 3 h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20, TVA par 7,7 % incluse. Les frais judiciaires et les frais imputables à la défense d’office sont mis à la charge du recourant,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L'ordonnance du 7 novembre 2019 est confirmée. III. L'indemnité allouée à Me Julien Perrin, défenseur d'office de X.________, est fixée à 593 fr. 20 (cinq cent nonante-trois francs et vingt centimes). IV. Les frais d'arrêt, fixés à 990 fr. (neuf cent nonante francs), ainsi que l'indemnité allouée à Me Julien Perrin, par 593 fr. 20 (cinq cent nonante-trois francs et vingt centimes), sont mis à la charge de X.________. V. Le remboursement à l'Etat de l'indemnité allouée au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Julien Perrin, avocat (pour X.________), - Ministère public central, et communiqué à : - Mme la Présidente du Tribunal des mesures de contrainte, - Mme la Procureure cantonale Strada, - M. le Président du Tribunal correctionnel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