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945 vom 25. November 2019</w:t>
      </w:r>
    </w:p>
    <w:p>
      <w:r>
        <w:t>VD Tribunal cantonal, 2019-11-25, FR</w:t>
      </w:r>
    </w:p>
    <w:p>
      <w:r>
        <w:rPr>
          <w:b/>
        </w:rPr>
        <w:t xml:space="preserve">Quelle: </w:t>
      </w:r>
      <w:r>
        <w:t>https://mcp.opencaselaw.ch/entscheid/vd_findinfo_D_cision___2019___945</w:t>
      </w:r>
    </w:p>
    <w:p>
      <w:r>
        <w:t>FR: VD_FINDINFO Décision / 2019 / 945 du 25 novembre 2019</w:t>
      </w:r>
    </w:p>
    <w:p>
      <w:r>
        <w:t>IT: VD_FINDINFO Décision / 2019 / 945 del 25 novembre 2019</w:t>
      </w:r>
    </w:p>
    <w:p>
      <w:pPr>
        <w:pStyle w:val="Heading2"/>
      </w:pPr>
      <w:r>
        <w:t>Regeste</w:t>
      </w:r>
    </w:p>
    <w:p>
      <w:r>
        <w:t>SÉQUESTRE{MESURE PROVISIONNELLE}, CRÉANCE, IMMEUBLE, PRINCIPE DE LA CÉLÉRITÉ | 71 CP, 197 al.1 CPP (CH), 263 al. 1 let. d CPP (CH), 263 al. 2 CPP (CH), 5 CPP (CH)</w:t>
      </w:r>
    </w:p>
    <w:p>
      <w:pPr>
        <w:pStyle w:val="Heading2"/>
      </w:pPr>
      <w:r>
        <w:t>Erwägungen</w:t>
      </w:r>
    </w:p>
    <w:p>
      <w:r>
        <w:rPr>
          <w:b/>
        </w:rPr>
        <w:t>E. 1.1</w:t>
      </w:r>
    </w:p>
    <w:p>
      <w:r>
        <w:t>Selon l’art. 393 al. 1 let. a CPP (Code de procédure pénale suisse du 5 octobre 2007; RS 312.0),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2 e éd., Bâle 2016, n. 24 ad art. 263 CPP; Lembo/Julen Berthod, in : Kuhn/Jeanneret [éd.], Commentaire romand, Code de procédure pénale suisse, Bâle 2011, n. 4 ad art. 267 CPP; CREP 7 juin 2018/427; CREP 11 janvier 2017/21 et les références citées).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septembre 1979; BLV 173.01]).</w:t>
      </w:r>
    </w:p>
    <w:p>
      <w:r>
        <w:rPr>
          <w:b/>
        </w:rPr>
        <w:t>E. 1.2</w:t>
      </w:r>
    </w:p>
    <w:p>
      <w:r>
        <w:t>Interjeté en temps utile par la partie plaignante, qui a un intérêt juridique à l’annulation ou à la modification de l’ordonnance entreprise (art. 382 al. 1 CPP), et dans les formes prescrites (art. 385 al. 1 CPP), le recours d'Z.________ est recevable.</w:t>
      </w:r>
    </w:p>
    <w:p>
      <w:r>
        <w:rPr>
          <w:b/>
        </w:rPr>
        <w:t>E. 2.1</w:t>
      </w:r>
    </w:p>
    <w:p>
      <w:r>
        <w:t>En application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L'art. 197 al. 1 CPP prévoit que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w:t>
      </w:r>
    </w:p>
    <w:p>
      <w:r>
        <w:rPr>
          <w:b/>
        </w:rPr>
        <w:t>E. 2.2</w:t>
      </w:r>
    </w:p>
    <w:p>
      <w:r>
        <w:t>L’atteinte causée par une mesure de séquestre présuppose l’existence de présomptions concrètes à l’encontre de la ou des personnes visées par la procédure pénale. Au début de l’enquête, il est admis qu’un soupçon crédible ou un début de preuve de l’existence de l’infraction reprochée suffise à permettre le séquestre, ce qui laisse une grande place à l’appréciation du juge (Lembo/Julen Berthod,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la mesure doit pouvoir être ordonnée rapidement, ce qui exclut que l'autorité résolve des questions juridiques complexes ou qu'elle attende d'être renseignée de manière exacte et complète sur les faits (ATF 141 IV 360 consid. 3.2; TF 1B_59/2019 du 21 juin 2019 consid. 3.1).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1B_59/2019 précité; Lembo/Julen Berthod, op. cit., n. 26 ad art. 263 CPP et les réf. citées).</w:t>
      </w:r>
    </w:p>
    <w:p>
      <w:r>
        <w:rPr>
          <w:b/>
        </w:rPr>
        <w:t>E. 2.3</w:t>
      </w:r>
    </w:p>
    <w:p>
      <w:r>
        <w:t>Le séquestre en vue de confiscation (art. 263 al. 1 let. d CPP) est une mesure conservatoire provisoire – destinée à préserver les objets ou les valeurs que le juge du fond pourrait être amené à confisquer – qui est fondée sur la vraisemblance et se justifie aussi longtemps qu'une simple possibilité de confiscation en application du Code pénal semble, prima facie , subsister (ATF 139 IV 250 consid. 2.1; ATF 137 IV 145 consid. 6.4 et les réf. citées).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ATF 129 II 453 consid. 4.1; CREP 7 juin 2018/427 consid. 2.2; CREP 1 er mars 2016/135 consid. 3.2.2).</w:t>
      </w:r>
    </w:p>
    <w:p>
      <w:r>
        <w:rPr>
          <w:b/>
        </w:rPr>
        <w:t>E. 2.4</w:t>
      </w:r>
    </w:p>
    <w:p>
      <w:r>
        <w:t>Selon l'art. 71 al. 1 CP, lorsque les valeurs patrimoniales à confisquer ne sont plus disponibles, le juge ordonne leur remplacement par une créance compensatrice de l'Etat d'un montant équivalent. Selon l'art. 71 al. 3 CP,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Le séquestre tendant à garantir une éventuelle créance compensatrice peut porter sur tous les biens, valeurs et/ou revenus de l'intéressé sans qu'un lien de connexité avec l'infraction ne soit exigé (ATF 141 IV 360 consid. 3.2 et les références citées; ATF 140 IV 57 consid. 4.1.2). Toutefois, tant que l'étendue de la mesure ne paraît pas manifestement violer le principe de proportionnalité, notamment sous l'angle du respect des conditions minimales d'existence (TF 1B_175/2015 du 10 août 2015 consid. 3.2), le séquestre doit être maintenu.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141 IV 360 consid. 3.2; ATF 140 IV 57 consid. 4.1.2 et les références citées).</w:t>
      </w:r>
    </w:p>
    <w:p>
      <w:r>
        <w:rPr>
          <w:b/>
        </w:rPr>
        <w:t>E. 2.5</w:t>
      </w:r>
    </w:p>
    <w:p>
      <w:r>
        <w:t>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(Lembo/Julen Berthod, op. cit., n. 35 ad art. 263 CPP). Pour satisfaire à ces exigences, il suffit que l'autorité mentionne, au moins brièvement, les motifs qui l'ont guidée et sur lesquels elle a fondé son raisonnement (ATF 142 IV 154 consid. 4.2). La seule référence à la norme légale est insuffisante sous l'angle des exigences de motivation de la décision, viole le droit d'être entendu du recourant et prive l’autorité de recours de la possibilité d’exercer correctement son contrôle (TF 1A.95/2002 du 16 juillet 2002 consid. 3.3; CREP 28 juin 2019/521 consid. 2.1). En principe, le défaut de motivation conduit à l'annulation de l'ordonnance et au renvoi du dossier à l'autorité saisie de la cause pour nouvelle décision (CREP 2 septembre 2019/711 consid. 2.1 et les références citées).</w:t>
      </w:r>
    </w:p>
    <w:p>
      <w:r>
        <w:rPr>
          <w:b/>
        </w:rPr>
        <w:t>E. 2.6</w:t>
      </w:r>
    </w:p>
    <w:p>
      <w:r>
        <w:t>Le recourant rappelle que la Cour de céans a retenu dans son arrêt du 10 septembre 2014 que l’infraction d’usure pouvait être réalisée en raison d’une disproportion manifeste entre prestation et contreprestation dans le contrat de vente du 26 janvier 2007. Il expose que cette disproportion serait confirmée par le rapport de l’analyste financier du 13 juin 2018, qui mettrait également en lumière des irrégularités dans la gestion de la société. Selon lui, dès lors qu’il aurait versé à la prévenue la somme de 805'641 fr. 30 pour une société ne valant rien, il ne ferait aucun doute qu’une créance compensatrice du même montant sera prononcée, ce qui justifierait le séquestre des immeubles acquis par celle-ci à [...] le 1 er juillet 2008, soit près d’un an après les premiers acomptes versés en exécution de la transaction. Il y aurait ainsi des soupçons suffisants pesant contre la prévenue et il y aurait lieu de garantir la créance compensatrice du recourant contre cette dernière au moyen d’un séquestre, mesure qui serait proportionnée, dans la mesure notamment où on ignorerait si C.________ était toujours en possession des montants versés par l'intéressé. Pour sa part, l’intimée admet que le recourant a payé des acomptes pour 250'000 fr. puis qu’il a procédé à des versements mensuels de 7'500 fr. jusqu’au printemps 2012, sous réserve de quelques mensualités manquées. Selon elle, le prix convenu n’aurait pas été entièrement payé et la gestion du club par l’intéressé aurait été catastrophique. L’intimée expose ensuite qu’elle a perdu son époux en 2005 et aurait hérité d’au moins 624'315 fr. 10 en titres et en assurance-vie, de sorte qu’elle aurait bénéficié des moyens suffisants pour financer l’achat de biens immobiliers avant même la conclusion du contrat avec le recourant. Ainsi, l’immeuble de [...] aurait été financé par une assurance-vie et ceux d’[...] au moyen de la vente d’un portefeuille de titres puis d’un crédit bancaire. Il n’y aurait donc aucun lien de connexité entre la vente des actions de B.________ et le financement de l’acquisition de ces immeubles. Pour le surplus, le séquestre en vue de garantir une créance compensatrice serait disproportionné dès lors que les revenus des immeubles concernés et la rente de veuve de l’intimée constitueraient ses seuls revenus. Le recourant soutient encore que les pièces fournies par l’intimée à l’appui de ses déterminations ne démontrent pas que les immeubles ont été financés par son héritage, ce que cette dernière conteste, tout comme le fait que l’obtention des valeurs patrimoniales concernées soit la conséquence directe et immédiate de la prétendue infraction qui lui est reprochée.</w:t>
      </w:r>
    </w:p>
    <w:p>
      <w:r>
        <w:rPr>
          <w:b/>
        </w:rPr>
        <w:t>E. 2.7</w:t>
      </w:r>
    </w:p>
    <w:p>
      <w:r>
        <w:t>En l’espèce, il convient en premier lieu de constater que l’ordonnance attaquée ne satisfait manifestement pas aux exigences de motivation applicables en matière de séquestre, puisque le Procureur se contente d’exposer qu’un lien de connexité direct entre le comportement reproché à l’intimée et l’acquisition de ses immeubles n’est pas établi, sans toutefois expliquer pour quelle raison, alors qu’il apparaît que lesdits immeubles ont été acquis peu de temps après les premiers paiements du recourant. Le défaut de motivation de l’ordonnance en cause est encore plus flagrant sur la question du séquestre en vue de garantir une créance compensatrice, puisque les motifs excluant, selon le Ministère public, une telle garantie ne sont pas indiqués, cette autorité se contentant de relever que le juge dispose d'une grande latitude à cet égard. Cette carence exige déjà de renvoyer le dossier de la cause au Ministère public. Cela étant, l'infraction d'usure, seule susceptible de donner lieu à une créance compensatrice – étant précisé que l'infraction de contrainte n'a aucun lien avec l'argent perçu par la prévenue et que l'infraction d’inobservation des prescriptions légales sur la comptabilité est prescrite (art. 109 CP [Code pénal du 21 décembre 1937; RS 311.0]) –, pourrait être réalisée pour les motifs exposés au consid. 2.2.2 de l'arrêt de la Cour de céans du 10 septembre 2014. L'existence d'une probable disproportion importante entre prestation et contreprestation dans le contrat est d’autant plus vraisemblable au vu du rapport rendu par l’analyste financier du Ministère public le 13 juin 2018 (P. 54). Il ne peut en outre être exclu qu'une situation de faiblesse du plaignant ait été exploitée. Il est dès lors vraisemblable que l’acquisition des immeubles en cause résultait d’un remploi des acomptes versés par le recourant pour le rachat des actions de la société B.________. En outre, un séquestre en garantie d’une créance compensatrice se justifie également, la vraisemblance de l’infraction en cause étant donnée pour les motifs exposés ci-avant, et un tel séquestre n'étant pas susceptible de porter atteinte au minimum vital de l’intimée, dès lors qu'une restriction du droit d’aliéner de ses immeubles ne l’empêcherait pas d’en percevoir les revenus. Cette dernière a toutefois raison lorsqu’elle indique que la saisie de l’ensemble de ses biens immobiliers n’est pas justifiée et il conviendra que le Ministère public se contente de saisir ce qui est nécessaire à couvrir le préjudice vraisemblable du plaignant. Il convient par ailleurs d’impartir un délai de dix jours au Ministère public pour statuer à nouveau dans le sens qui précède, pour satisfaire au principe de célérité, qui prohibe tout retard injustifié à statuer (art. 5 al. 1 CPP), étant rappelé que la procédure est ouverte depuis de nombreuses années et que le plaignant ne cesse de requérir le séquestre des immeubles de la prévenue depuis le dépôt de sa plainte.</w:t>
      </w:r>
    </w:p>
    <w:p>
      <w:r>
        <w:rPr>
          <w:b/>
        </w:rPr>
        <w:t>E. 3</w:t>
      </w:r>
    </w:p>
    <w:p>
      <w:r>
        <w:t>Au vu de ce qui précède, le recours doit être admis et l’ordonnance du 23 août 2019 annulée. Le dossier de la cause sera renvoyé au Ministère public de l’arrondissement de La Côte pour qu’il procède dans le sens des considérants. Le 4 septembre 2019, Me Alain Vuithier, conseil juridique gratuit d’Z.________, a produit une liste d’opérations faisant état de 5,7 heures d’activité consacrées à la procédure de recours, dont il n'y a pas lieu de s'écarter. S'agissant en revanche de la liste d'opérations produite le 18 novembre 2019, seule l'opération du 21 novembre 2019 correspondant aux déterminations adressées à la Chambre des recours pénale était justifiée par la défense des intérêts d'Z.________. Il sera donc tenu compte d'une activité globale de 6 heures. C'est ainsi une indemnité de 1'186 fr. 40, correspondant à 1'080 fr. d'honoraires, à 21 fr. 60 de débours forfaitaires (cf. art. 26b TFIP [tarif des frais de procédure et indemnités en matière pénale du 28 septembre 2010; BLV 312.03.1] qui renvoie à l'art. 3bis RAJ [règlement sur l’assistance judiciaire en matière civile du 7 décembre 2010; BLV 211.02.3]) et à 84 fr. 80 de TVA, qui sera allouée à Me Alain Vuithier pour la procédure de recours. Les frais de la procédure de recours, constitués en l’espèce de l’émolument d'arrêt, par 1’430 fr. (art. 20 al. 1 TFIP), et de l’indemnité due à Me Alain Vuithier, fixée à 1'186 fr. 40, seront laissés à la charge de l’Etat (art. 428 al. 4 CPP). Par ces motifs, la Chambre des recours pénale prononce : I. Le recours est admis. II. L’ordonnance du 23 août 2019 est annulée. III. Le dossier de la cause est renvoyé au Ministère public de l’arrondissement de La Côte pour qu’il procède dans le sens des considérants dans un délai de dix jours dès la notification du présent arrêt. IV. L’indemnité due à Me Alain Vuithier est fixée à 1'186 fr. 40 (mille cent huitante-six francs et quarante centimes), débours et TVA compris. V. Les frais d’arrêt, par 1’320 fr. (mille trois cent vingt francs), ainsi que l’indemnité allouée au conseil juridique gratuit du recourant sous ch. IV ci-dessus, par 1'186 fr. 40 (mille cent huitante-six francs et quarante centimes), sont laissés à la charge de l’Etat. VI. L’arrêt est exécutoire. Le président :               Le greffier : Du Le présent arrêt, dont la rédaction a été approuvée à huis clos, est notifié, par l'envoi d'une copie complète, à : - Me Alain Vuithier, avocat (pour Z.________), - Me Patricia Michellod, avocate (pour C.________),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