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938 vom 19. November 2019</w:t>
      </w:r>
    </w:p>
    <w:p>
      <w:r>
        <w:t>VD Tribunal cantonal, 2019-11-19, FR</w:t>
      </w:r>
    </w:p>
    <w:p>
      <w:r>
        <w:rPr>
          <w:b/>
        </w:rPr>
        <w:t xml:space="preserve">Quelle: </w:t>
      </w:r>
      <w:r>
        <w:t>https://mcp.opencaselaw.ch/entscheid/vd_findinfo_D_cision___2019___938</w:t>
      </w:r>
    </w:p>
    <w:p>
      <w:r>
        <w:t>FR: VD_FINDINFO Décision / 2019 / 938 du 19 novembre 2019</w:t>
      </w:r>
    </w:p>
    <w:p>
      <w:r>
        <w:t>IT: VD_FINDINFO Décision / 2019 / 938 del 19 novembre 2019</w:t>
      </w:r>
    </w:p>
    <w:p>
      <w:pPr>
        <w:pStyle w:val="Heading2"/>
      </w:pPr>
      <w:r>
        <w:t>Regeste</w:t>
      </w:r>
    </w:p>
    <w:p>
      <w:r>
        <w:t>DOUBLE REPRÉSENTATION, CONFLIT D'INTÉRÊTS, ACTION EN DIVORCE, ACTION EN PAIEMENT D'ENTRETIEN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à constater que Me Q.________ peut continuer à représenter C.R.________ et E.R.________ dans le cadre des procédures opposant ceux-ci à O.R.________. Elle est dès lors compétente.</w:t>
      </w:r>
    </w:p>
    <w:p>
      <w:r>
        <w:rPr>
          <w:b/>
        </w:rPr>
        <w:t>E. 2</w:t>
      </w:r>
    </w:p>
    <w:p>
      <w:r>
        <w:t>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 ATF 145 IV 218 consid. 2.1 ;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Grodecki/Jeandin, Approche critique de l'interdiction de postuler chez l'avocat aux prises avec un conflit d'intérêts, SJ 2015 II p. 107 ; Fellmann, in Fellmann/Zindel, Kommentar BGFA, 2 e éd. 2011, nn. 109 s. ad art. 12 LLCA ; Bohnet/Martenet, Droit de la profession d'avocat, 2009, n. 1440 p. 589 ; Valticos, in Commentaire romand LLCA, 2009, n. 175 ad art. 12 LLCA). Le devoir de fidélité exclut a fortiori que l'avocat procède contre un client actuel (ATF 145 IV 218 consid. 2.1 ; ATF 134 II 108 consid. 5.2).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145 IV 218 consid. 2.1 ; ATF 135 II 145 consid. 9.1 ; ATF 134 II 108 consid. 4.2.1).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 TF 2C_898/2018 du 30 janvier 2019 consid. 5.2 ; TF 1B_20/2017 du 23 février 2017 consid. 3.1). De manière générale, dans le cadre des procédures matrimoniales, il est admis que l'avocat puisse représenter l'un des conjoints et les enfants mineurs. Il est également admis que le conjoint continue à représenter l'enfant devenu majeur en cours de procédure (TF 5A_959/2013 du 1 er octobre 2014 consid. 7.2 ; 5A_216/2009 du 14 juillet 2009 consid. 5.1). La jurisprudence reconnaît donc que l'accession de l'enfant à la majorité ne fait pas naître de facto un conflit d'intérêts. La Chambre de céans a considéré qu’il n’existait pas de conflit d’intérêts lorsqu’un avocat était le conseil de l’épouse dans la procédure de divorce initiée par le mari et qu’il avait brièvement représenté la fille majeure dans l’action alimentaire intentée contre son père. L’avocat pouvait continuer à représenter l’épouse et sa fille majeure dans le cadre de l’action en divorce puisque les intérêts de ces dernières étaient convergents (CAVO 25 juin 2015/9). De même, aucun conflit d’intérêts n’a été retenu dans un divorce où les deux enfants majeurs, après avoir été assistés durant la phase de négociations par un avocat aux côtés de la mère et de l’enfant mineur, avaient ensuite mandaté la compagne de cet avocat, elle aussi avocate, celle-ci ayant déposé une action alimentaire selon l'art. 277 al. 2 CC pour chaque enfant majeur. En effet, il n'existait aucun conflit d'intérêts entre la mère et ses enfants, puisque les deux procédures, à savoir celle de la mère et de l'enfant mineur d'une part, et celle des deux enfants majeurs d'autre part, étaient dirigées contre le père, et que la partie adverse était identique (CAVO 7 novembre 2017/23).</w:t>
      </w:r>
    </w:p>
    <w:p>
      <w:r>
        <w:rPr>
          <w:b/>
        </w:rPr>
        <w:t>E. 2.1</w:t>
      </w:r>
    </w:p>
    <w:p>
      <w:r>
        <w:t>Me Q.________ fait valoir que ses mandats pour C.R.________ et E.R.________ ne seraient affectés d’aucun conflit d’intérêts concret. Il se prévaut en outre du consentement donné par son client E.R.________. O.R.________ estime que Me Q.________ ne pourrait pas défendre à la fois son fils et son époux contre elle-même car les intérêts de ceux-ci seraient antinomiques. Il ne serait pas possible pour un avocat d’intenter une action alimentaire contre un parent alors qu’il représente simultanément l’autre parent. Cela vaudrait d’autant plus qu’en l’espèce, l’enfant majeur pourrait tout aussi bien procéder contre son père, compte tenu de la situation économique des parties. O.R.________ est d’avis que la décision de la Chambre des avocats du 7 novembre 2017/23 ne serait pas applicable au cas d’espèce car dans le cadre de celle-ci, le débirentier disposait de très hauts revenus, de sorte que les prétentions de l’enfant majeur n’entraient pas en concurrence avec celle de l’épouse. Soulignant que les procédures ont lieu simultanément, O.R.________ estime que les prétentions issues du divorce auront une influence concrète sur l’éventuelle contribution d’entretien due en faveur du fils majeur.</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 ainsi qu'avec l'art. 13 LLCA relatif au secret professionnel (TF 2A.310/2006 du 21 novembre 2006 consid. 6.2 ; Chappuis, La profession d'avocat, tome I,</w:t>
      </w:r>
    </w:p>
    <w:p>
      <w:r>
        <w:rPr>
          <w:b/>
        </w:rPr>
        <w:t>E. 2.3</w:t>
      </w:r>
    </w:p>
    <w:p>
      <w:r>
        <w:t>En l’espèce, le consentement de l’époux E.R.________ à ce que Me Q.________ représente également son fils C.R.________ à l’encontre d’O.R.________ ne justifie pas en soi que Me Q.________ représente tant l’époux que le fils majeur à l’encontre de l’épouse. En effet, le consentement du client à une pluralité de représentation n’est pas déterminant, l’interdiction des conflits d’intérêts étant de nature absolue (TF 1P.227/2005 du 13 mai 2005 consid. 3.1 ; TF 2A.560/2004 du 1 er février 2005 consid. 5.2). Il ressort de la jurisprudence de la Chambre des avocats que l’absence de conflit d’intérêts a été retenue dans des cas où les deux parties qui se faisaient représenter par le même avocat, soit l’épouse et l’enfant majeur, faisaient toutes deux va loir des prétentions à l’encontre de la partie adverse, soit l’époux. Dans le cas d’espèce, aucune des parties n’allègue que l’époux E.R.________ ferait valoir des prétentions à l’égard de l’épouse O.R.________, de sorte qu’il n’y a pas de prétentions concurrentes entre le fils majeur et l’époux. Si la Chambre des avocats a nié l’existence d’un conflit d’intérêts dans une constellation où les deux parties qui se faisaient représenter par le même avocat faisaient toutes deux valoir des prétentions contre la partie adverse, il ne saurait a fortiori y avoir de conflit d’intérêts lorsque seule l’une des deux parties représentées par le même avocat fait valoir des prétentions contre la partie adverse. Dans ces circonstances, il n’y a pas de double représentation, puisque les parties représentées par Me Q.________ ne poursuivent pas des intérêts opposés : C.R.________ agit contre O.R.________ en paiement d’une contribution d’entretien pour enfant majeur, tandis qu’E.R.________ se défend contre une action en divorce intentée par O.R.________. Dès lors qu’il n’a pas été invoqué ni établi qu’E.R.________ ferait valoir une prétention en paiement d’une contribution d’entretien contre O.R.________, les prétentions du père et du fils n’entrent pas en conflit. Par ailleurs, la jurisprudence du Tribunal fédéral admet que le conjoint continue à représenter l'enfant devenu majeur en cours de procédure, ce qui implique que parent et enfant soient représentés par le même avocat, sans que cela n’entraîne automatiquement de conflit d’intérêts. Il faut dès lors constater que les mandats de Me Q.________ pour le compte de C.R.________ et d’E.R.________ ne sont affectés d’aucun conflit d’intérêts.</w:t>
      </w:r>
    </w:p>
    <w:p>
      <w:r>
        <w:rPr>
          <w:b/>
        </w:rPr>
        <w:t>E. 3</w:t>
      </w:r>
    </w:p>
    <w:p>
      <w:r>
        <w:t>En définitive, les mandats de Me Q.________ pour le compte de C.R.________ et d’E.R.________ n’étant affectés d’aucun conflit d’intérêts, il y a lieu de constater que cet avocat peut continuer à représenter ces derniers dans le cadre des procédures les opposant à O.R.________. Les frais de la présente décision, arrêtés à 500 fr. (art. 1 al. 2 RE-Chav [règlement sur les émoluments perçus par la Chambre des avocats ou son président, par délégation ; BLV 177.11.4]), seront mis à la charge d’O.R.________ (art. 59 al. 2 LPAv). Il n’y a pas lieu à l’allocation de dépens, Me Q.________ agissant dans sa propre cause. Par ces motifs, la Chambre des avocats, statuant à huis clos : I. Constate que Me Q.________ peut continuer à représenter C.R.________ dans le cadre de la procédure en versement d’aliments opposant ce dernier à O.R.________. II. Constate que Me Q.________ peut continuer à représenter E.R.________ dans le cadre de la procédure en divorce opposant ce dernier à O.R.________. III. Dit que les frais de la présente décision, par 500 fr. (cinq cents francs), sont mis à la charge d’O.R.________, sans allocation de dépens pour le surplus. IV. Dit que la présente décision est immédiatement exécutoire et retire l'effet suspensif à un éventuel recours en application de l'art. 80 al. 2 LPA-VD. La présidente :               Le greffier : Du La décision qui précède, lue et approuvée à huis clos, est notifiée à : ‑ Me Q.________, ‑ Me B.________ (pour O.R.________),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