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936 vom 3. Dezember 2019</w:t>
      </w:r>
    </w:p>
    <w:p>
      <w:r>
        <w:t>VD Tribunal cantonal, 2019-12-03, FR</w:t>
      </w:r>
    </w:p>
    <w:p>
      <w:r>
        <w:rPr>
          <w:b/>
        </w:rPr>
        <w:t xml:space="preserve">Quelle: </w:t>
      </w:r>
      <w:r>
        <w:t>https://mcp.opencaselaw.ch/entscheid/vd_findinfo_D_cision___2019___936</w:t>
      </w:r>
    </w:p>
    <w:p>
      <w:r>
        <w:t>FR: VD_FINDINFO Décision / 2019 / 936 du 3 décembre 2019</w:t>
      </w:r>
    </w:p>
    <w:p>
      <w:r>
        <w:t>IT: VD_FINDINFO Décision / 2019 / 936 del 3 dicembre 2019</w:t>
      </w:r>
    </w:p>
    <w:p>
      <w:pPr>
        <w:pStyle w:val="Heading2"/>
      </w:pPr>
      <w:r>
        <w:t>Regeste</w:t>
      </w:r>
    </w:p>
    <w:p>
      <w:r>
        <w:t>OPPOSITION{PROCÉDURE}, RETRAIT{VOIE DE DROIT}, JUGEMENT PAR DÉFAUT, FICTION | 356 al. 4 CPP (CH)</w:t>
      </w:r>
    </w:p>
    <w:p>
      <w:pPr>
        <w:pStyle w:val="Heading2"/>
      </w:pPr>
      <w:r>
        <w:t>Erwägungen</w:t>
      </w:r>
    </w:p>
    <w:p>
      <w:r>
        <w:rPr>
          <w:b/>
        </w:rPr>
        <w:t>E. 1.1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6 décembre 2017/844 ; CREP 9 février 2016/93 ; CREP 13 avril 2015/244).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rPr>
          <w:b/>
        </w:rPr>
        <w:t>E. 1.2</w:t>
      </w:r>
    </w:p>
    <w:p>
      <w:r>
        <w:t>En l’espèce, interjeté en temps utile devant l’autorité compétente par le prévenu qui a qualité pour recourir (art. 382 al. 1 CPP) et satisfaisant aux exigences de forme (art. 385 al. 1 CPP), le recours est recevable.</w:t>
      </w:r>
    </w:p>
    <w:p>
      <w:r>
        <w:rPr>
          <w:b/>
        </w:rPr>
        <w:t>E. 2.1</w:t>
      </w:r>
    </w:p>
    <w:p>
      <w:r>
        <w:t>Le recourant expose que la cause avait été suspendue pour une durée de six mois et que le Président du Tribunal de police de l’arrondissement de Lausanne avait annoncé à l’audience du 4 avril 2019 qu’il interpellerait les parties à l’échéance de cette suspension. Il n’aurait pas pu s’attendre à recevoir une citation à comparaître avant la fin de cette suspension, ignorant que son épouse avait requis la reprise de la cause dans l’intervalle. Dans ce contexte, il n’aurait pas pris de disposition pour recevoir son courrier pendant son absence en Italie et au Maroc entre le 15 juillet 2019 et le 15 août 2019. On ne pourrait donc conclure qu’il a valablement renoncé à ses droits.</w:t>
      </w:r>
    </w:p>
    <w:p>
      <w:r>
        <w:rPr>
          <w:b/>
        </w:rPr>
        <w:t>E. 2.2.1</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ch. 1 CEDH [Convention du 4 novembre 1950 de sauvegarde des droits de l’homme et des libertés fondamentales ;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références citées, JdT 2017 IV 46 ; ATF 140 IV 82 consid. 2.3, JdT 2014 IV 301 ; TF 6B_152/2013 du 27 mai 2013 consid. 4.5, in : Pra 2013 n. 99 pp. 763 ss).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références citées). L’autorité saisie par l’opposition est responsable du respect des principes régissant la procédure, dans le cadre de la continuation de la procédure, de sorte que l’opposant puisse et doive pouvoir compter de bonne foi sur une procédure conforme aux exigences d’un Etat de droit. Seul le prévenu dument informé peut valablement renoncer à la protection judiciaire garantie par l’art. 29a Cst. en lien avec l’art. 30 Cst. (cf. ATF 142 IV 158 consid. 3.4 et les références citées, JdT 2017 IV 46 ; ATF 140 IV 82 consid. 2.6, JdT 2014 IV 301). Demeurent réservés les cas d’abus de droit (cf. ATF 142 IV 158 consid. 3.4 et les références citées, JdT 2017 IV 46 ; ATF 140 IV 82 consid. 2.7, JdT 2014 IV 301). Cette jurisprudence développée en lien avec l’art. 355 al. 2 CPP s’applique dans la même mesure à l’art. 356 al. 4 CPP, s’agissant des normes correspondantes (cf. ATF 142 IV 158 consid 3.5 et les références citées, JdT 2017 IV 46 ; TF 6B_397/2015 du 26 novembre 2015 consid. 1.2).</w:t>
      </w:r>
    </w:p>
    <w:p>
      <w:r>
        <w:rPr>
          <w:b/>
        </w:rPr>
        <w:t>E. 2.2.2</w:t>
      </w:r>
    </w:p>
    <w:p>
      <w:r>
        <w:t>L’art. 85 al. 4 let. a CPP prévoit qu’un prononcé est réputé notifié lorsque, expédié par lettre signature, il n’a pas été retiré dans les sept jours à compter de la tentative infructueuse de remise du pli, si la personne concernée devait s’attendre à une telle remise.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141 II 429 consid. 3.1; ATF 139 IV 228 consid. 1.1 ; TF 6B_936/2018 du 4 décembre 2018 consid. 1.1). Ainsi, la personne concernée doit s'attendre à la remise d'un prononcé lorsqu'elle est au courant qu'elle fait l'objet d'une instruction pénale au sens de l'art. 309 CPP (TF 6B_233/2017 du 12 décembre 2017 consid. 2.1 et les références citées ; Denys, Ordonnance pénale : Questions choisies et jurisprudence récente, SJ 2016 II 125 ss, p. 127 s.).</w:t>
      </w:r>
    </w:p>
    <w:p>
      <w:r>
        <w:rPr>
          <w:b/>
        </w:rPr>
        <w:t>E. 2.3</w:t>
      </w:r>
    </w:p>
    <w:p>
      <w:r>
        <w:t>En l’occurrence, il ressort du procès-verbal de l’audience du 4 avril 2019 que celle-ci a été suspendue pour six mois, soit jusqu’au 30 septembre 2019, et que le Président interpellerait ensuite les parties. Le recourant, qui n’était pas assisté, pouvait légitimement en conclure qu’il ne recevrait pas une convocation à une nouvelle audience dans l’intervalle. Il ne saurait donc lui être reproché de ne pas avoir retiré les plis adressés les 29 juillet 2019 et 9 août 2019. Cela étant, il n’a pas été valablement cité à comparaître et la fiction de retrait d’opposition ne saurait intervenir dans le cas d’espèce.</w:t>
      </w:r>
    </w:p>
    <w:p>
      <w:r>
        <w:rPr>
          <w:b/>
        </w:rPr>
        <w:t>E. 3</w:t>
      </w:r>
    </w:p>
    <w:p>
      <w:r>
        <w:t>Il résulte de ce qui précède que le recours doit être admis, le prononcé du</w:t>
      </w:r>
    </w:p>
    <w:p>
      <w:r>
        <w:rPr>
          <w:b/>
        </w:rPr>
        <w:t>E. 8</w:t>
      </w:r>
    </w:p>
    <w:p>
      <w:r>
        <w:t>octobre 2019 annulé et le dossier de la cause renvoyé au Tribunal de police de l’arrondissement de Lausanne pour qu’il procède dans le sens des considérants. La requête tendant à l’octroi de l’assistance judiciaire pour la procédure de recours doit être admise, dans la mesure où elle tend à la désignation de Me Lauris Loat en qualité de défenseur d’office, dès lors que la cause ne peut être considérée comme étant de peu de gravité, le recourant étant passible d’une peine pécuniaire totale de plus de 120 jours-amende si l’on tient compte de la révocation éventuelle du sursis accordé le 3 juillet 2017. Les frais de la procédure de recours, constitués en l'espèce de l'émolument d'arrêt, par 770 fr. (art. 20 al. 1 TFIP [tarif des frais de procédure et indemnités en matière pénale du 28 septembre 2010 ; BLV 312.03.1]), ainsi que des frais imputables à la défense d’office (art. 422 al. 1 et 2 let. a CPP), fixés à 395 fr. 50, qui comprennent des honoraires par 360 fr., des débours forfaitaires par 7 fr. 20 (cf. art. 26b TFIP, qui renvoie à l'art. 3 bis RAJ [Règlement sur l’assistance judiciaire en matière civile du 7 décembre 2010 ; BLV 211.02.3]) et la TVA sur le tout au taux de 7,7%, par 28 fr. 30 fr., seront laissés à la charge de l’Etat (art. 428 al. 4 CPP). Par ces motifs, la Chambre des recours pénale prononce : I. Le recours est admis. II. Le prononcé du 8 octobre 2018 est annulé. III. Le dossier de la cause est renvoyé au Tribunal de police de l'arrondissement de Lausanne pour qu'il procède dans le sens des considérants. IV. La requête d’assistance judiciaire est admise et Me Lauris Loat est désigné défenseur d’office de V.________ pour la procédure de recours. V. L'indemnité allouée au défenseur d'office de V.________ est fixée à 395 fr. 50 (trois cent nonante-cinq francs et cinquante centimes). VI. Les frais d'arrêt, par 770 fr. (sept cent septante francs), ainsi que l’indemnité allouée au défenseur d'office de V.________, par 395 fr. 50 (trois cent nonante-cinq francs et cinquante centimes), sont laissés à la charge de l'Etat. VII. L’arrêt est exécutoire. Le président :               Le greffier : Du Le présent arrêt, dont la rédaction a été approuvée à huis clos, est notifié, par l'envoi d'une copie complète, à : - Me Lauris Loat (avocat pour V.________), - Ministère public central, et communiqué à : - M. le Président du Tribunal de police de l’arrondissement de Lausanne,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