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930 vom 8. November 2019</w:t>
      </w:r>
    </w:p>
    <w:p>
      <w:r>
        <w:t>VD Tribunal cantonal, 2019-11-08, FR</w:t>
      </w:r>
    </w:p>
    <w:p>
      <w:r>
        <w:rPr>
          <w:b/>
        </w:rPr>
        <w:t xml:space="preserve">Quelle: </w:t>
      </w:r>
      <w:r>
        <w:t>https://mcp.opencaselaw.ch/entscheid/vd_findinfo_D_cision___2019___930</w:t>
      </w:r>
    </w:p>
    <w:p>
      <w:r>
        <w:t>FR: VD_FINDINFO Décision / 2019 / 930 du 8 novembre 2019</w:t>
      </w:r>
    </w:p>
    <w:p>
      <w:r>
        <w:t>IT: VD_FINDINFO Décision / 2019 / 930 del 8 novembre 2019</w:t>
      </w:r>
    </w:p>
    <w:p>
      <w:pPr>
        <w:pStyle w:val="Heading2"/>
      </w:pPr>
      <w:r>
        <w:t>Regeste</w:t>
      </w:r>
    </w:p>
    <w:p>
      <w:r>
        <w:t>DEMANDE ADRESSÉE À L'AUTORITÉ, RÉCUSATION, CLASSEMENT DE LA PROCÉDURE | 173 CP, 56 CPP (CH)</w:t>
      </w:r>
    </w:p>
    <w:p>
      <w:pPr>
        <w:pStyle w:val="Heading2"/>
      </w:pPr>
      <w:r>
        <w:t>Erwägungen</w:t>
      </w:r>
    </w:p>
    <w:p>
      <w:r>
        <w:rPr>
          <w:b/>
        </w:rPr>
        <w:t>E. 1.1</w:t>
      </w:r>
    </w:p>
    <w:p>
      <w:r>
        <w:t>S.________ conteste l'ordonnance de non-entrée en matière rendue le 25 juillet 2019 ensuite de sa plainte déposée contre l'avocat [...].</w:t>
      </w:r>
    </w:p>
    <w:p>
      <w:r>
        <w:rPr>
          <w:b/>
        </w:rPr>
        <w:t>E. 1.2</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 art. 80 LOJV [Loi d’organisation judiciaire du 12 décembre 1979 ; BLV 173.01]).</w:t>
      </w:r>
    </w:p>
    <w:p>
      <w:r>
        <w:rPr>
          <w:b/>
        </w:rPr>
        <w:t>E. 1.3</w:t>
      </w:r>
    </w:p>
    <w:p>
      <w:r>
        <w:t>Interjeté dans le délai légal et dans les formes prescrites (art. 385 al. 1 CPP) auprès de l’autorité compétente, par la partie plaignante qui a qualité pour recourir (art. 382 al. 1 CPP ; ATF 140 IV 155 consid. 3.3.1), le recours de S.________ est recevable.</w:t>
      </w:r>
    </w:p>
    <w:p>
      <w:r>
        <w:rPr>
          <w:b/>
        </w:rPr>
        <w:t>E. 2</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w:t>
      </w:r>
    </w:p>
    <w:p>
      <w:r>
        <w:rPr>
          <w:b/>
        </w:rPr>
        <w:t>E. 2.1.1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w:t>
      </w:r>
    </w:p>
    <w:p>
      <w:r>
        <w:rPr>
          <w:b/>
        </w:rPr>
        <w:t>E. 2.1.2</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1B_46/2016 du 29 avril 2016 consid. 3.1 et les réf. citées).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 ATF 138 IV 142 consid. 2.2.2 ; TF 1B_415/2011 du 25 octobre 2011 ; Verniory, in Commentaire romand, Code de procédure pénale suisse, 2011, n. 64 ad art. 56 CPP). Dans ce cadre, ni les art. 29 et 30 Cst., ni l'art. 6 par. 1 CEDH ne confèrent au prévenu une protection particulière lui permettant de se plaindre de l'attitude du ministère public et des opinions exprimées par celui-ci durant les débats (ATF 124 I 76 consid. 2 ; ATF 118 Ia 95 consid. 3b ; ATF 112 Ia 142 consid. 2a et les arrêts cités).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w:t>
      </w:r>
    </w:p>
    <w:p>
      <w:r>
        <w:rPr>
          <w:b/>
        </w:rPr>
        <w:t>E. 2.1.3</w:t>
      </w:r>
    </w:p>
    <w:p>
      <w:r>
        <w:t>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1B_105/2013 du 21 mai 2013 consid. 2.1 et l’arrêt cité). En outre, un juge, respectivement un procureur, ne peut pas être récusé pour le simple motif que, dans une procédure antérieure, il a eu à trancher en défaveur du requérant (ibidem; ATF 143 IV 69 consid. 3.1). Dans la situation dans laquelle le même procureur est amené à instruire successivement des plaintes réciproques, le Tribunal fédéral a jugé qu’il y a matière à récusation uniquement lorsque, par son attitude ou ses déclarations précédentes, le magistrat a clairement fait apparaître qu'il ne sera pas capable d'aborder la seconde procédure en faisant éventuellement abstraction des opinions qu'il a précédemment émises, seule une formulation clairement négative pouvant entraîner la récusation (TF 1B_430/2015 du 5 janvier 2016 consid. 3.2, SJ 2016 I p. 49 ; TF 1B_328/2015 du 11 novembre 2015 consid. 3.2).</w:t>
      </w:r>
    </w:p>
    <w:p>
      <w:r>
        <w:rPr>
          <w:b/>
        </w:rPr>
        <w:t>E. 2.2</w:t>
      </w:r>
    </w:p>
    <w:p>
      <w:r>
        <w:t>Dans un premier grief, S.________ indique que ce serait la même procureure qui traiterait systématiquement ses affaires. Comme l'a cependant relevé de manière convaincante la Procureure P.________ dans sa prise de position du 13 août 2019, on rappelle que l'attribution des dossiers se fait non par la procureure concernée, qui ne les choisit pas, mais par le premier procureur de l'arrondissement, qui tient compte notamment des complexes de fait identiques, mais aussi de la charge de chacun, ainsi que d’autres facteurs propres à la marche de l’office. Les explications données par la procureure démontrent d'ailleurs clairement que, non seulement les affaires concernant S.________ ne sont pas attribuées uniquement à celle-ci, mais que d'autres procureurs en ont également été chargés, de même que sur les quatorze affaires répertoriées, plusieurs procureurs se sont succédés.</w:t>
      </w:r>
    </w:p>
    <w:p>
      <w:r>
        <w:rPr>
          <w:b/>
        </w:rPr>
        <w:t>E. 2.3</w:t>
      </w:r>
    </w:p>
    <w:p>
      <w:r>
        <w:t>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2.4</w:t>
      </w:r>
    </w:p>
    <w:p>
      <w:r>
        <w:t>Dans un troisième grief, la requérante se plaint de formulations inadéquates de la procureure, qui démontreraient, selon elle, une prévention justifiant sa récusation. En l'espèce, les formulations reprochées à la magistrate sont en partie reprises de deux ordonnances de non-entrée en matière rendues les 2 et 10 juillet 2019. Quoi qu’il en soit, elles ne présentent rien de subjectif puisqu'elles ne font que relater un fait concret. De toute manière, seule une formulation clairement négative peut entraîner une récusation (TF 1B_430/2015 du 5 janvier 2016 consid. 3.2, SJ 2016 I p. 49), ce qui n’est pas le cas ici.</w:t>
      </w:r>
    </w:p>
    <w:p>
      <w:r>
        <w:rPr>
          <w:b/>
        </w:rPr>
        <w:t>E. 2.5</w:t>
      </w:r>
    </w:p>
    <w:p>
      <w:r>
        <w:t>Dans un dernier grief, la requérante s'en prend à la notification de l'ordonnance de non-entrée en matière au prévenu potentiel, l'avocat [...], et y voit une violation de l'art. 73 CPP.</w:t>
      </w:r>
    </w:p>
    <w:p>
      <w:r>
        <w:rPr>
          <w:b/>
        </w:rPr>
        <w:t>E. 2.5.1</w:t>
      </w:r>
    </w:p>
    <w:p>
      <w:r>
        <w:t>Aux termes de l'art. 73 al. 1 CPP, les membres des autorités pénales, leurs collaborateurs, ainsi que leurs experts commis d’office gardent le silence sur les faits qui parviennent à leur connaissance dans l’exercice de leur activité officielle. L'art. 104 al. 1 CPP dispose que le prévenu, la partie plaignante et le ministère public, lors des débats ou dans la procédure de recours, ont la qualité de partie. Conformément à l'art. 321 al. 1 let. a CPP, le ministère public notifie l’ordonnance de classement aux parties. L’art. 310 al. 2 CPP précise que ces dispositions s’appliquent aussi à l’ordonnance de non-entrée en matière.</w:t>
      </w:r>
    </w:p>
    <w:p>
      <w:r>
        <w:rPr>
          <w:b/>
        </w:rPr>
        <w:t>E. 2.5.2</w:t>
      </w:r>
    </w:p>
    <w:p>
      <w:r>
        <w:t>En l'espèce, la plainte du 19 juillet 2019 de la requérante était nommément déposée contre l'avocat [...] (P. 4), pour un fait relevant de son activité professionnelle, de sorte que ce dernier devait bien être considéré comme prévenu au sens de l'art. 111 CPP. Si la pratique veut que, parfois, l'ordonnance de non-entrée en matière ne soit pas notifiée au prévenu potentiel pour éviter d'alimenter le conflit, la règle est plus justement de notifier l'ordonnance aux parties, ce qu'a fait la procureure sans que l'on puisse y voir une violation de son obligation de garder le secret au sens de l'art. 73 CPP.</w:t>
      </w:r>
    </w:p>
    <w:p>
      <w:r>
        <w:rPr>
          <w:b/>
        </w:rPr>
        <w:t>E. 2.6</w:t>
      </w:r>
    </w:p>
    <w:p>
      <w:r>
        <w:t>Quant au courrier de Me [...] (P. 11/1 produite le 20 août 2019 par S.________), on ne discerne pas de quelle affaire il s'agissait, les faits remontant d'ailleurs à 2018. De toute manière, l'avocat ayant été ou étant également le conseil de la requérante, et faute de disposer d'éléments plus complets, son courrier, d'ailleurs nuancé, ne saurait changer l'appréciation relative à l’absence de motifs de récusation.</w:t>
      </w:r>
    </w:p>
    <w:p>
      <w:r>
        <w:rPr>
          <w:b/>
        </w:rPr>
        <w:t>E. 2.7</w:t>
      </w:r>
    </w:p>
    <w:p>
      <w:r>
        <w:t>Enfin, le conseil de S.________ a encore déposé un courrier le 16 octobre 2019 en lien avec une instruction des affaires PE [...] et PE [...], dont on semble comprendre qu'il s'agit d'une récusation demandée à l'encontre du Juge cantonal [...]. La procureure P.________ avait été invitée à se déterminer sur cette demande de récusation et avait conclu au rejet en expliquant pour quels motifs. C'est à tort que la requérante, par son avocat, y voit une marque supplémentaire de prévention à son égard. En effet, dans la mesure où elle était interpellée, la procureure avait légitimement le droit de se déterminer, en indiquant ce qu'il pensait de la demande de récusation et les motifs pour lesquels elle devait être rejetée, puisque c'était précisément l'objet du litige. Pour le reste, on relève que la Cour d'appel pénale a rejeté la demande de récusation de S.________ à l'encontre du Juge cantonal [...] (CAPE 21 octobre 2019/426).</w:t>
      </w:r>
    </w:p>
    <w:p>
      <w:r>
        <w:rPr>
          <w:b/>
        </w:rPr>
        <w:t>E. 2.8</w:t>
      </w:r>
    </w:p>
    <w:p>
      <w:r>
        <w:t>Compte tenu de ce qui précède, on ne discerne aucun manquement ou erreur, ni aucune prévention de la Procureure P.________ à l'égard de la requérante S.________. La demande de récusation doit dès lors être rejetée. II. Recours contre l’ordonnance de non-entrée en matière 1.</w:t>
      </w:r>
    </w:p>
    <w:p>
      <w:r>
        <w:rPr>
          <w:b/>
        </w:rPr>
        <w:t>E. 3.1</w:t>
      </w:r>
    </w:p>
    <w:p>
      <w:r>
        <w:t>En l'espèce, l'accusation de la plaignante a trait à des propos tenus par l'avocat [...], au nom de ses clients A.M.________, A.N.________ et J.________ dans un mémoire de réponse déposé devant la Chambre des recours civile, clients avec qui elle est en conflit. Les termes utilisés étaient : "... la recourante a envoyé des messages d'intimidation, voire de menaces, par email ou sur messagerie vocale, sur un ton dénigrant et ironique. Parfois des agressions verbales ont eu lieu face aux enfants des familles...".</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Pour qu'il y ait diffamation, il faut que l'auteur s'adresse à un tiers. Est en principe considérée comme tiers toute personne autre que l'auteur et l'objet des propos qui portent atteinte à l'honneur (ATF 86 IV 209).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alii ., Petit Commentaire du Code pénal, 2 e éd. 2017, n. 52 ad art. 173 CP; Favre/Pellet/Stoudmann, op. cit., n. 1.11 ad art. 14 CP; de Werra, L’avocat et la diffamation [Der Anwalt und die üble Nachrede, traduit de l’allemand], in : L’avocat suisse, n° 70, décembre 1980, p. 14). Tant la partie que son avocat peuvent se prévaloir de l’art. 14 CP à condition de s’être exprimés de bonne foi, de s’être limités à ce qui est nécessaire et pertinent et d’avoir présenté comme telles de simples suppositions (ATF 131 IV 154 consid. 1.2.3). Dans un tel contexte, une atteinte à l’honneur ne doit être admise que restrictivement, surtout si les propos litigieux ne s’adressent qu’aux membres d’une autorité judiciaire, qui sont à même de faire la part des choses (Favre/Pellet/Stoudmann, op. cit., n. 1.14 ad art. 173 CP). Les propos incriminés dans le cadre de l’art. 173 CP doivent avoir été adressés à un tiers, lequel peut être un avocat, un magistrat ou un fonctionnaire (TF 6B_974/2018 du 20 décembre 2018 consid. 2.3.1 ; Dupuis et al., op. cit., n. 18 ad art. 173 CP). La diffamation est une infraction intentionnelle (Corboz, Les infractions en droit suisse, 3 e éd., vol. I, Berne 2010, n. 48 ad art. 173 CP).</w:t>
      </w:r>
    </w:p>
    <w:p>
      <w:r>
        <w:rPr>
          <w:b/>
        </w:rPr>
        <w:t>E. 3.3</w:t>
      </w:r>
    </w:p>
    <w:p>
      <w:r>
        <w:t>En l'espèce, le contexte du litige a trait à une procédure civile opposant des propriétaires en PPE. Il s'agissait dans le cas précis de déterminer si une suspension de l'une des procédures civiles se justifiait. Les griefs exposés par le conseil dans son mémoire de réponse du 23 avril 2019 à la Chambre des recours civile figurent sous la partie "faits". Cette partie "faits" relate le contexte extrêmement problématique des relations entre la plaignante et les autres copropriétaires, notamment les nombreuses procédures initiées, le refus de la plaignante de s'exécuter et la nécessité pour les copropriétaires de faire exécuter les travaux par un tiers au vu des blocages. Dans ce contexte, l'avocat faisait également mention des interdictions et autres ordres donnés à la plaignante pour faire face à ses comportements qui semblaient sortir du cadre d'une procédure raisonnable. Le paragraphe faisant l'objet de la plainte pénale objet de la présente procédure relate plus précisément les faits en lien avec les travaux et surtout la nécessité pour les intimés au recours d'avoir dû déposer une plainte pénale contre la recourante pour infractions au patrimoine, à l'honneur, à la liberté, à l'autorité publique et à l'administration de la justice. Pour justifier le dépôt de cette plainte, les courts propos relatés dans le mémoire résumaient de manière très succincte les raisons de la plainte. Force est de retenir que ce paragraphe, pris dans son entier, est une relation de la situation et de ses ramifications pénales, ce qui paraît légitime pour faire connaître au juge saisi le contexte de la situation. Ne pas le faire serait une faute professionnelle, contrairement à ce que soutient la plaignante, l'intérêt de l'information étant évident pour comprendre l'attitude de la plaignante, soupçonnée d'aller au-delà des limites raisonnables en adoptant une attitude répréhensible. Cet élément est pertinent pour le juge. Ensuite, si les propos devaient être blessants, il appartient effectivement au procureur de trancher cette question; il est indéniable que, sortis de tout contexte, ces propos pourraient être diffamatoires. En l'état, les propos repris dans la réponse au recours sont quasiment ceux de la plainte pénale déposée par les intimés au recours contre la recourante le 18 juin 2018, mais aussi pour partie de l'ordonnance du 4 juin 2018. Sur ce point, on constate cependant que le prévenu a clairement conclu ce passage par "... Le ministère public de l'arrondissement est en charge de l'instruction. A ce jour, la cause n'est pas encore jugée". Cette adjonction, pour tous professionnels du droit, est suffisante pour comprendre clairement que les propos de la plainte en sont au stade de l'instruction et que les faits n'ont pas encore été confirmés ou infirmés par les instances judiciaires, le conditionnel étant de mise. Que toutes ces affirmations n'aient été retenues que dans des décisions provisionnelles ou d'instruction ne changent rien à l'appréciation de la cause, puisque il est notoire que ces décisions ne préjugent pas du fond. En l'absence de décisions au fond, on ne saurait empêcher un avocat de se référer à ce qu'il a déjà obtenu ou exécuté comme actes de procédure. Ainsi, si l'on peut toujours retenir que des propos judiciaires pourraient être tenus avec force de conditionnels et de circonvolutions prudentes, il n'en reste pas moins que les débats judiciaires imposaient de faire une description de la situation, description qui, prise dans son ensemble, était suffisamment descriptive et conditionnelle pour que l'autorité judiciaire puisse en faire la part des choses. C'est dès lors à raison que la procureure a retenu que les éléments constitutifs de la diffamation au sens de l'art. 173 CP n'étaient pas réalisés et qu'elle a rendu l'ordonnance entreprise.</w:t>
      </w:r>
    </w:p>
    <w:p>
      <w:r>
        <w:rPr>
          <w:b/>
        </w:rPr>
        <w:t>E. 4</w:t>
      </w:r>
    </w:p>
    <w:p>
      <w:r>
        <w:t>En définitive, le recours, manifestement mal fondé, doit être rejeté sans échange d’écritures (art. 390 al. 2 CPP) et l’ordonnance attaquée confirmée. Les frais de la procédure de recours et de récusation, constitués en l’espèce du seul émolument d'arrêt (art. 422 al. 1 CPP), par 1’430 fr. (art. 20 al. 1 TFIP [Tarif des frais de procédure et indemnités en matière pénale du 28 septembre 2010 ; BLV 312.03.1]), seront mis à la charge de la requérante et recourante, qui succombe (art. 59 al. 4 et 428 al. 1 CPP). Par ces motifs, la Chambre des recours pénale prononce : I. La demande de récusation de la Procureure P.________ est rejetée. II. Le recours est rejeté. III. L'ordonnance du 25 juillet 2019 est confirmée. IV. Les frais de la procédure, par 1'430 fr. (mille quatre cent trente francs), sont mis à la charge de S.________. V. L’arrêt est exécutoire. Le président :               La greffière : Du Le présent arrêt, dont la rédaction a été approuvée à huis clos, est notifié, par l'envoi d'une copie complète, à : - Me Frank Tièche, avocat (pour S.________), - Me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