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91 vom 31. Januar 2019</w:t>
      </w:r>
    </w:p>
    <w:p>
      <w:r>
        <w:t>VD Tribunal cantonal, 2019-01-31, FR</w:t>
      </w:r>
    </w:p>
    <w:p>
      <w:r>
        <w:rPr>
          <w:b/>
        </w:rPr>
        <w:t xml:space="preserve">Quelle: </w:t>
      </w:r>
      <w:r>
        <w:t>https://mcp.opencaselaw.ch/entscheid/vd_findinfo_D_cision___2019___91</w:t>
      </w:r>
    </w:p>
    <w:p>
      <w:r>
        <w:t>FR: VD_FINDINFO Décision / 2019 / 91 du 31 janvier 2019</w:t>
      </w:r>
    </w:p>
    <w:p>
      <w:r>
        <w:t>IT: VD_FINDINFO Décision / 2019 / 91 del 31 gennaio 2019</w:t>
      </w:r>
    </w:p>
    <w:p>
      <w:pPr>
        <w:pStyle w:val="Heading2"/>
      </w:pPr>
      <w:r>
        <w:t>Regeste</w:t>
      </w:r>
    </w:p>
    <w:p>
      <w:r>
        <w:t>DÉTENTION PROVISOIRE, PROLONGATION, SOUPÇON, RISQUE DE FUITE, RISQUE DE COLLUSION, RISQUE DE RÉCIDIVE, PROPORTIONNALITÉ | 212 al. 3 CPP (CH), 221 al. 1 let. a CPP (CH),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d’I.________ est recevable.</w:t>
      </w:r>
    </w:p>
    <w:p>
      <w:r>
        <w:rPr>
          <w:b/>
        </w:rPr>
        <w:t>E. 2.1</w:t>
      </w:r>
    </w:p>
    <w:p>
      <w:r>
        <w:t>Le recourant soutient que ce serait de manière arbitraire que le Tribunal des mesures de contrainte aurait fait primer la version de la plaignante au détriment de la sienne et retenu l’existence de graves « présomptions de culpabilité » à son endroit. Il relève en particulier qu’il ressortirait du témoignage de L.________ que F.________ ne se serait jamais opposée au départ de son fils avec son oncle. Il fait également valoir que les déclarations de la plaignante évolueraient au fil du temps et ne seraient pas consistantes, celle-ci n’ayant en particulier pas fait mention de prétendus actes sexuels non consentis lors de sa première audition du 8 novembre 2018.</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2.3</w:t>
      </w:r>
    </w:p>
    <w:p>
      <w:r>
        <w:t>En l’espèce, le fait que F.________ ait déjà porté des accusations de violence à l’encontre du recourant en 2017, avant de se rétracter, et qu’elle n’ait pas expliqué immédiatement les actes sexuels non consentis auxquels elle aurait été contrainte peut aisément s’expliquer par la crainte que lui inspire le recourant, crainte qu’elle a pu exprimer au cours de ses auditions et qui est au demeurant attestée par le témoin D.________, assistant social auprès de l’EVAM. Celui-ci a en effet notamment déclaré que la plaignante était « vraiment terrifiée », qu’« on pouvait vraiment ressentir sa peur » et qu’elle était « traumatisée » (PV aud. 8, R. 5 p. 3), précisant encore qu’il n’avait jamais eu l’impression qu’il s’agissait d’un jeu ou d’une simulation (PV aud. 8, R. 22). Les dires de la plaignante sont par ailleurs confirmés par son collègue de classe Y.________, auquel elle s’est confiée et a tenu les mêmes propos qu’aux enquêteurs (PV aud. 9). A ce stade, les déclarations de F.________ peuvent donc être considérées comme parfaitement crédibles. On relèvera encore que le témoin L.________, amie ayant accompagné C.________ au domicile des parties pour aller chercher l’enfant, a constaté des bris de verre dans le salon du couple (PV aud. 10, R. 7 p. 5), ce qui est compatible avec le déroulement des faits tel que relaté par la plaignante. Il s’ajoute à cela que depuis la dernière ordonnance, l’instruction contre I.________ a été étendue à des faits prima facie constitutifs de contrainte sexuelle. Partant, les soupçons de culpabilité à l’encontre du recourant apparaissent à ce stade de l’enquête suffisants pour justifier un maintien en détention provisoire. Les déclarations de L.________, si elles permettraient selon le recourant de le disculper de l’infraction d’enlèvement de mineur, ne lui sont d’aucun secours en ce qui concerne les faits de violence physiques, sexuelles et verbales qui lui sont reprochés.</w:t>
      </w:r>
    </w:p>
    <w:p>
      <w:r>
        <w:rPr>
          <w:b/>
        </w:rPr>
        <w:t>E. 3.1</w:t>
      </w:r>
    </w:p>
    <w:p>
      <w:r>
        <w:t>Le recourant conteste l’existence d’un risque de fuite, rappelant que la seule nationalité étrangère d’un prévenu ne suffirait pas à créer un tel risque.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3.3</w:t>
      </w:r>
    </w:p>
    <w:p>
      <w:r>
        <w:t>En l’occurrence, au vu de la gravité des faits reprochés et de la peine susceptible d’être prononcée, le risque que le recourant, ressortissant [...] au bénéfice d’un permis de requérant d’asile, soit tenté, en cas de libération, d’entrer dans la clandestinité ou de fuir la Suisse est bien réel. Ce risque est d’autant plus probable qu’une grande partie de la famille proche du recourant, soit ses parents et plusieurs de ses frères et sœurs, vit en [...], et que ce dernier aurait déjà évoqué la possibilité de partir s’installer dans ce pays (cf. PV aud. 7, lignes 193-197). Le moyen du recourant doit dès lors être rejeté.</w:t>
      </w:r>
    </w:p>
    <w:p>
      <w:r>
        <w:rPr>
          <w:b/>
        </w:rPr>
        <w:t>E. 4.1</w:t>
      </w:r>
    </w:p>
    <w:p>
      <w:r>
        <w:t>Le recourant conteste également l’existence d’un risque de collusion. Il relève que F.________ a déjà été entendue à deux reprises dans le cadre de l’instruction, qu’aucune autre audition ne serait prévue et qu’on ne verrait dès lors pas comment ni pourquoi il pourrait faire pression sur la plaignante en cas de libération.</w:t>
      </w:r>
    </w:p>
    <w:p>
      <w:r>
        <w:rPr>
          <w:b/>
        </w:rPr>
        <w:t>E. 4.2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1B_243/2018 du 5 juin 2018 consid. 3.1).</w:t>
      </w:r>
    </w:p>
    <w:p>
      <w:r>
        <w:rPr>
          <w:b/>
        </w:rPr>
        <w:t>E. 4.3</w:t>
      </w:r>
    </w:p>
    <w:p>
      <w:r>
        <w:t>En l’espèce, il est vrai que la plaignante a déjà eu l’occasion de s’expliquer à deux reprises sur les faits qu’elle reproche au recourant. Néanmoins, l’on constate qu’en 2017, cette dernière était revenue sur ses accusations à l’encontre de son compagnon, très certainement de peur que celui-ci ne s’en prenne à elle et à son fils. Dans le cadre de la présente instruction, elle n’a eu de cesse d’exprimer la peur et l’angoisse qu’elle ressentait à l’idée qu’I.________ mette à exécution ses menaces. On peut ainsi raisonnablement craindre que F.________ se retrouve à nouveau sous l’emprise de son compagnon à l’avenir. Le risque de collusion est en outre corroboré par les nombreux écrits que le recourant adresse à l’attention de la plaignante depuis son lieu de détention (P. 20 à 24) et par le fait que selon la plaignante, la famille d’I.________ aurait pris contact avec la sienne en [...] (PV aud. 7, lignes 297-301). L’appréciation du Tribunal des mesures de contrainte ne prête donc pas le flanc à la critique et l’existence d’un risque de collusion peut à ce stade être confirmée.</w:t>
      </w:r>
    </w:p>
    <w:p>
      <w:r>
        <w:rPr>
          <w:b/>
        </w:rPr>
        <w:t>E. 5.1</w:t>
      </w:r>
    </w:p>
    <w:p>
      <w:r>
        <w:t>Le recourant reproche au Tribunal des mesures de contrainte d’avoir retenu l’existence d’un risque de réitération, alors que son casier judiciaire serait vierge et qu’il ne présenterait aucun antécédent.</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w:t>
      </w:r>
    </w:p>
    <w:p>
      <w:r>
        <w:rPr>
          <w:b/>
        </w:rPr>
        <w:t>E. 5.3</w:t>
      </w:r>
    </w:p>
    <w:p>
      <w:r>
        <w:t>Dans le cas présent, le recourant n’a certes pas de condamnation inscrite au casier judiciaire suisse. Toutefois, il est à préciser qu’il n’est en Suisse que depuis le début de l’année 2017 et que sa compagne l’avait déjà mis en cause pour lui avoir asséné une gifle en mai 2017. Cet épisode de violence, admis par le recourant (PV aud. 3, R. 15), a fait l’objet d’un classement au motif que F.________ n’avait pas déposé plainte (P. 4). Les faits reprochés par la plaignante au recourant, soit des violences psychiques, physiques et sexuelles subies à de nombreuses reprises et régulièrement sont au demeurant extrêmement graves. A cet égard, F.________ a en effet expliqué que les violences avaient débuté quelque temps après leur mariage, lorsqu’ils vivaient encore en [...], et qu’elles n’avaient jamais cessé depuis lors (PV aud. 1, R. 8 p. 7 ; PV aud. 7, ligne 163). En outre, F.________ a fait état des menaces concrètes de mort qu’aurait proférées son compagnon à son encontre (PV aud. 7, lignes 186-188 notamment). Dans ces circonstances, il faut considérer, à l’instar du Tribunal des mesures de contrainte, que le risque de réitération est établi à ce stade et que les besoins de protection et de sécurité de la victime priment la liberté du recourant et impose dès lors le maintien en détention de ce dernier. Le grief du recourant doit là encore être rejeté.</w:t>
      </w:r>
    </w:p>
    <w:p>
      <w:r>
        <w:rPr>
          <w:b/>
        </w:rPr>
        <w:t>E. 6.1</w:t>
      </w:r>
    </w:p>
    <w:p>
      <w:r>
        <w:t>Le recourant se plaint enfin d’une violation du principe de la proportionnalité, arguant qu’au vu de la peine encourue, la durée de la prolongation de la détention ordonnée serait excessive. Il fait également grief au Tribunal des mesures de contrainte de n’avoir pas tenu compte d’une ordonnance des mesures d’éloignement prononcées par le juge civil à son encontre, et de n’avoir pas examiné si les mesures de substitution telles que proposées seraient suffisantes à prévenir les risques retenus.</w:t>
      </w:r>
    </w:p>
    <w:p>
      <w:r>
        <w:rPr>
          <w:b/>
        </w:rPr>
        <w:t>E. 6.2.1</w:t>
      </w:r>
    </w:p>
    <w:p>
      <w:r>
        <w:t>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[Constitution fédérale de la Confédération suisse du 18 avril 1999 ; RS 101]), qui impose d'examiner les possibilités de mettre en œuvre d'autres solutions moins dommageables que la détention (ATF 141 IV 190 consid. 3.1). L'art. 237 al. 2 CPP permet ainsi, entre autres mesures de substitution susceptibles d'entrer ici en considération, la saisie des documents d’identité et autres documents officiels (let. b), l’obligation de se présenter régulièrement à un service administratif (let. d) et l’interdiction d’entretenir des relations avec certaines personnes (let. g).</w:t>
      </w:r>
    </w:p>
    <w:p>
      <w:r>
        <w:rPr>
          <w:b/>
        </w:rPr>
        <w:t>E. 6.2.2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1B_238/2017 du 5 juillet 2017 consid. 2.2).</w:t>
      </w:r>
    </w:p>
    <w:p>
      <w:r>
        <w:rPr>
          <w:b/>
        </w:rPr>
        <w:t>E. 6.3</w:t>
      </w:r>
    </w:p>
    <w:p>
      <w:r>
        <w:t>En l’espèce, au terme de la prolongation ordonnée par le Tribunal des mesures de contrainte, le recourant aura subi cinq mois de détention, ce qui ne saurait être considéré comme une durée excessive eu égard au fait que l’infraction la plus grave pour laquelle ce dernier est poursuivi, soit la contrainte sexuelle, est passible à elle seule d’une peine privative de liberté pouvant aller jusqu’à dix ans (art. 189 al. 1 CP [Code pénal suisse du 21 décembre 1937 ; RS 311.0]). Le principe de la proportionnalité est donc respecté. Pour le surplus, ni l’ordonnance de mesures superprovisionnelles rendue par la Présidente du Tribunal civil de l’arrondissement de Lausanne le 18 décembre 2018, faisant interdiction au recourant de s’approcher de la plaignante et de son fils et de les contacter, ni les mesures de substitution proposées par I.________ n’apparaissent suffisantes pour pallier les risques constatés, notamment le risque de réitération qui apparaît particulièrement important dans les circonstances décrites. Vu la gravité des faits reprochés et les menaces pesant sur la plaignante, il convient en l’espèce de faire preuve de la plus grande prudence.</w:t>
      </w:r>
    </w:p>
    <w:p>
      <w:r>
        <w:rPr>
          <w:b/>
        </w:rPr>
        <w:t>E. 7</w:t>
      </w:r>
    </w:p>
    <w:p>
      <w:r>
        <w:t>Il résulte de ce qui précède que le recours, manifestement mal fondé, doit être rejeté sans échange d’écritures (art. 390 al. 2 CPP) et l’ordonnance attaquée confirmée. Les frais de la procédure de recours, constitués en l’espèce de l’émolument d'arrêt, par 1’430 fr. (art. 20 al. 1 TFIP [Tarif des frais judiciaires de procédure et indemnités en matière pénale du 28 septembre 2010 ; BLV 312.03.1]), et des frais imputables à la défense d’office (art. 422 al. 1 et 2 let. a CPP), fixés à 540 fr., plus la TVA par 41 fr. 60, soit à 581 fr. 60 au total, seront mis à la charge du recourant, qui succombe (art. 428 al. 1, 1 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15 janvier 2019 est confirmée. III. L’indemnité allouée au défenseur d’office d’I.________ est fixée à 581 fr. 60 (cinq cent huitante et un francs et soixante centimes). IV. Les frais d’arrêt, par 1’430 fr. (mille quatre cent trente francs), ainsi que l’indemnité due au défenseur d’office d’I.________, par 581 fr. 60 (cinq cent huitante et un francs et soixante centimes), sont mis à la charge de ce dernier. V. Le remboursement à l'Etat de l'indemnité allouée au chiffre III ci-dessus ne sera exigible que pour autant que la situation financière d’I.________ le permette. VI. L’arrêt est exécutoire. Le président : La greffière : Du Le présent arrêt, dont la rédaction a été approuvée à huis clos, est notifié, par l'envoi d'une copie complète, à : - Me Julien Chappuis, avocat (pour I.________), - Ministère public central, et communiqué à : - Mme la Présidente du Tribunal des mesures de contrainte, - Mme la Procureure de l’arrondissement de l’Est vaudois, - Me Zakia Arnouni, avocate (pour F.________),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