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908 vom 6. November 2019</w:t>
      </w:r>
    </w:p>
    <w:p>
      <w:r>
        <w:t>VD Tribunal cantonal, 2019-11-06, FR</w:t>
      </w:r>
    </w:p>
    <w:p>
      <w:r>
        <w:rPr>
          <w:b/>
        </w:rPr>
        <w:t xml:space="preserve">Quelle: </w:t>
      </w:r>
      <w:r>
        <w:t>https://mcp.opencaselaw.ch/entscheid/vd_findinfo_D_cision___2019___908</w:t>
      </w:r>
    </w:p>
    <w:p>
      <w:r>
        <w:t>FR: VD_FINDINFO Décision / 2019 / 908 du 6 novembre 2019</w:t>
      </w:r>
    </w:p>
    <w:p>
      <w:r>
        <w:t>IT: VD_FINDINFO Décision / 2019 / 908 del 6 novembre 2019</w:t>
      </w:r>
    </w:p>
    <w:p>
      <w:pPr>
        <w:pStyle w:val="Heading2"/>
      </w:pPr>
      <w:r>
        <w:t>Regeste</w:t>
      </w:r>
    </w:p>
    <w:p>
      <w:r>
        <w:t>DÉTENTION PROVISOIRE, RISQUE DE RÉCIDIVE, RISQUE DE FUITE, PROPORTIONNALITÉ, MESURE DE SUBSTITUTION À LA DÉTENTION | 221 al. 1 let. a CPP (CH), 221 al. 1 let. c CPP (CH), 237 CPP (CH)</w:t>
      </w:r>
    </w:p>
    <w:p>
      <w:pPr>
        <w:pStyle w:val="Heading2"/>
      </w:pPr>
      <w:r>
        <w:t>Erwägungen</w:t>
      </w:r>
    </w:p>
    <w:p>
      <w:r>
        <w:rPr>
          <w:b/>
        </w:rPr>
        <w:t>E. 4.1</w:t>
      </w:r>
    </w:p>
    <w:p>
      <w:r>
        <w:t>Le recourant conteste l'existence d'un risque de récidive. Il fait notamment valoir qu'il travaille en Suisse depuis 2004 et qu’il est titulaire d’un permis C, qu’il n'a aucun antécédent judiciaire, qu'il se serait engagé, le 5 mai 2019, à ne pas prendre contact avec sa fille et O.________, sa femme dont il est séparé, que, depuis cette date, il n'aurait eu aucun contact privé ni tenté d'en avoir avec ses enfants, qu'il aurait accepté, le 27 mai 2019, que son droit de visite sur ses enfants soit suspendu et se serait engagé pour le surplus à ne pas importuner ses enfants et sa femme, sous la menace de la peine d'amende prévue par l'art. 292 CP, qu'il ne connaîtrait pas l'adresse du domicile actuel de ses enfants et de sa femme, lesquels auraient changé dans l'intervalle de domicile, que ses enfants et sa femme l'auraient bloqué sur tous les réseaux sociaux, qu'E.M.________ aurait un nouveau téléphone, qu'il aurait lui-même spontanément proposé de supprimer le numéro de téléphone de ses enfants en tant que de besoin, que même s'il le voulait, ce qui ne serait pas le cas, il ne pourrait pas contacter ses enfants ou sa femme, enfin, qu'une expertise pourrait très bien être réalisée hors d'une prison. Par ailleurs, le recourant considère qu’il serait illogique d’attendre le dépôt de l’expertise psychiatrique, dès lors qu’il serait impossible pour un expert de déterminer, lorsqu’une personne clame son innocence, un risque de récidive.</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ATF 137 IV 84 consid. 3.2 et les références citées ; TF 1B_3/2019 du 17 janvier 2019 consid. 3.1).</w:t>
      </w:r>
    </w:p>
    <w:p>
      <w:r>
        <w:rPr>
          <w:b/>
        </w:rPr>
        <w:t>E. 4.3</w:t>
      </w:r>
    </w:p>
    <w:p>
      <w:r>
        <w:t>Dans le cas présent, les éléments invoqués par le recourant ne permettent pas de remettre en cause l’existence d’un risque de récidive. Même s’il ignore actuellement où se trouve sa famille, s’il n’a pas d’antécédent judiciaire, s’il a un travail et s’il s’est engagé à ne pas avoir de contact avec les personnes impliquées, ce risque demeure réel. Depuis avril 2018, C.M.________ fait l’objet d’une procédure pour pornographie enfantine (PE18.007782-FJL, jointe à la présente cause le</w:t>
      </w:r>
    </w:p>
    <w:p>
      <w:r>
        <w:rPr>
          <w:b/>
        </w:rPr>
        <w:t>E. 9</w:t>
      </w:r>
    </w:p>
    <w:p>
      <w:r>
        <w:t>août 2019). Or, malgré cela, le prévenu est suspecté d’avoir poursuivi ses agissements à l’égard de sa fille, le dernier épisode s’étant déroulé, selon les déclarations de la victime, le 26 avril 2019 (P. 22). Le prévenu est en effet soupçonné de s'en être pris à l'un des biens les plus précieux consacrés par l’ordre juridique suisse, à savoir l'intégrité sexuelle d'un enfant, soit celle de sa propre fille, et ce durant de nombreuses années. Au vu de l’importance du bien juridique protégé, on ne saurait prendre le risque de libérer l'intéressé avant de disposer des premières conclusions de l’expertise psychiatrique à venir qui permettront d'évaluer de manière plus précise la nature et l'importance du risque de réitération. En outre, le fait que le recourant estime que l’expert ne pourrait pas se prononcer sur le risque de récidive en raison du fait qu’il clame son innocence n’est pas pertinent, l’auteur niant les faits n’empêchant pas les experts de procéder à l’exécution de leur mandat. . 5. 5.1 Le recourant conteste également l'existence d'un risque de fuite. A cet égard, il se prévaut d'une présence et d'un travail en Suisse depuis 2004, et de la titularité d'un permis C. Il fait en outre valoir qu'il a été auditionné par les autorités judiciaires à trois reprises sans avoir été arrêté, qu’il ne s’est pourtant jamais enfui à l'étranger et qu’il s’est présenté librement à une convocation. 5.2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5.3 En l'espèce, le recourant est un ressortissant italien, au bénéfice d’un permis C. Au vu de l’extrême gravité des faits et de la peine conséquente à laquelle il s’expose, on ne peut exclure qu’il soit tenté de fuir vers son pays d’origine, et ce nonobstant ses attaches en Suisse, pour échapper aux poursuites pénales dont il fait l’objet. Le fait d'avoir été auditionné par les autorités judiciaires trois fois puis laissé aller libre, la dernière fois le 5 mai 2019, soit à un stade d'avancement de l'enquête antérieur, ne permet pas de remettre en cause l'appréciation du risque de fuite, qui est toujours actuel. 6. 6.1 Invoquant une violation du principe de la proportionnalité, le recourant soutient que les mesures de substitution proposées en lieu et place de la détention provisoire seraient propres à pallier tout éventuel risque de fuite et/ou de récidive. 6.2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6.3 En l'occurrence, s’agissant du risque de réitération retenu, au vu de la gravité des actes reprochés à l'intéressé et de l’importance des biens juridiques à protéger, ni l’assignation à résidence du recourant, qu’elle soit soumise ou non à une mesure de surveillance électronique, ni l'interdiction de périmètre ou de contact avec ses enfants ou sa femme, paraissent à même d’empêcher le recourant de récidiver, cette mesure étant tout au plus susceptible de permettre une réaction plus rapide des autorités. D'autre part, ni l'interdiction pour le prévenu de quitter le territoire du canton de Vaud, ni la saisie de ses documents d'identité et autres documents officiels, ni l'obligation de se présenter régulièrement à un service administratif ne paraissent propres à contenir le risque de fuite retenu, notamment quant à une disparition dans la clandestinité ou un départ en Italie voisine, ces mesures permettant tout au plus de le réduire dans une faible mesure. Quant à l'obligation de poursuivre une activité salariée, on ne voit pas en quoi une telle mesure serait susceptible de parer aux risques de fuite ou de réitération. Ainsi, la Cour de céans considère qu’aucune mesure de substitution n’est envisageable dans l’immédiat. Pour le surplus, au vu des soupçons pesant à son encontre, C.M.________ s’expose concrètement à une peine, respectivement à une mesure, d’une durée nettement supérieure à la période de détention provisoire subie à ce jour, respectivement à subir jusqu'au 1 er février 2020, de sorte que le principe de la proportionnalité est respecté. 7. Il résulte de ce qui précède que les recours, manifestement mal fondés, doivent être rejetés sans échange d’écritures (art. 390 al. 2 CPP) et l’ordonnance attaquée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(art. 3 bis al. 1 RAJ [Règlement du 7 décembre 2010 sur l'assistance judiciaire en matière civile ; BLV 211.02.3], dans sa teneur modifiée le 19 mars 2019 avec effet au 1 er mai 2019, applicable par renvoi de l’art. 26b TFIP),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Les recours sont rejetés. II. L’ordonnance du 23 octobre 2019 est confirmée. III. L’indemnité allouée au défenseur d’office de C.M.________ est fixée à 593 fr. 20 (cinq cent nonante-trois francs et vingt centimes). IV. Les frais d’arrêt, par 1'540 fr. (mille cinq cent quarante francs), ainsi que l’indemnité due au défenseur d’office de C.M.________, par 593 fr. 20 (cinq cent nonante-trois francs et vingt centimes), sont mis à la charge de ce dernier. V. Le remboursement à l’Etat de l’indemnité allouée au chiffre III ci-dessus ne sera exigible que pour autant que la situation financière de C.M.________ le permette. VI. L’arrêt est exécutoire. Le président :               Le greffier : Du Le présent arrêt, dont la rédaction a été approuvée à huis clos, est notifié, par l'envoi d'une copie complète, à : - Me Véronique Fontana, avocate (pour C.M.________), - Ministère public central, et communiqué à : - Mme la Présidente du Tribunal des mesures de contrainte, - Mme la Procureure de l'arrondissement du Nord vaudois, - Me Laurent Gilliard, avocat (pour O.________), - Me Loïc Parein, avocat (pour E.M.________),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