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900 vom 1. November 2019</w:t>
      </w:r>
    </w:p>
    <w:p>
      <w:r>
        <w:t>VD Tribunal cantonal, 2019-11-01, FR</w:t>
      </w:r>
    </w:p>
    <w:p>
      <w:r>
        <w:rPr>
          <w:b/>
        </w:rPr>
        <w:t xml:space="preserve">Quelle: </w:t>
      </w:r>
      <w:r>
        <w:t>https://mcp.opencaselaw.ch/entscheid/vd_findinfo_D_cision___2019___900</w:t>
      </w:r>
    </w:p>
    <w:p>
      <w:r>
        <w:t>FR: VD_FINDINFO Décision / 2019 / 900 du 1 novembre 2019</w:t>
      </w:r>
    </w:p>
    <w:p>
      <w:r>
        <w:t>IT: VD_FINDINFO Décision / 2019 / 900 del 1 novembre 2019</w:t>
      </w:r>
    </w:p>
    <w:p>
      <w:pPr>
        <w:pStyle w:val="Heading2"/>
      </w:pPr>
      <w:r>
        <w:t>Regeste</w:t>
      </w:r>
    </w:p>
    <w:p>
      <w:r>
        <w:t>DÉTENTION PROVISOIRE, PROLONGATION, RISQUE DE RÉCIDIVE, VIOLENCE DOMESTIQUE | 221 al. 1 let. c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de X.________ est recevable.</w:t>
      </w:r>
    </w:p>
    <w:p>
      <w:r>
        <w:rPr>
          <w:b/>
        </w:rPr>
        <w:t>E. 2.1</w:t>
      </w:r>
    </w:p>
    <w:p>
      <w:r>
        <w:t>Le recourant conteste l’existence d’un risque de réitération. Il fait valoir qu’il aurait pris conscience de la gravité de ses actes – ce dont les regrets sincères exprimés à l’audience du 26 septembre 2019 témoigneraient –, qu’il aurait désormais renoncé à sa liaison avec la victime, et qu’il n’habiterait d’ailleurs plus avec elle, le bail du logement commun ayant été résilié. Il n’y aurait donc plus aucun risque concret de récidive. A titre subsidiaire, le recourant se plaint d’avoir été informé tardivement des conditions posées par le Ministère public à sa libération (à savoir une prise en charge et un soutien psychothérapeutique portant sur la double problématique de sa consommation d’alcool et de sa violence) et conteste qu’on puisse le maintenir encore un mois en détention seulement parce qu’il n’aurait pas les moyens de s’offrir les services d’un thérapeute privé apte à le prendre en charge sans délai d’attente.</w:t>
      </w:r>
    </w:p>
    <w:p>
      <w:r>
        <w:rPr>
          <w:b/>
        </w:rPr>
        <w:t>E. 2.2.1</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 A l’expiration de la durée de la détention provisoire fixée par le tribunal des mesures de contrainte, le ministère public peut demander la prolongation de la détention (art. 227 al. 1 CPP).</w:t>
      </w:r>
    </w:p>
    <w:p>
      <w:r>
        <w:rPr>
          <w:b/>
        </w:rPr>
        <w:t>E. 2.2.2</w:t>
      </w:r>
    </w:p>
    <w:p>
      <w:r>
        <w:t>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Si des soupçons, même encore peu précis, peuvent être suffisants dans les premiers temps de l'enquête, la perspective d'une condamnation doit apparaître vraisemblable après l'accomplissement des actes d'instruction envisageables (ATF 143 IV 316 consid. 3.2 ; ATF 137 IV 122 consid. 3.2 ; TF 1B_372/2017 du 26 septembre 2017 consid. 2.1 ; Schmocker, op. cit., n. 8 ad art. 221 CPP).</w:t>
      </w:r>
    </w:p>
    <w:p>
      <w:r>
        <w:rPr>
          <w:b/>
        </w:rPr>
        <w:t>E. 2.2.3</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2.6 et 2.7 et les réf.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 moyens d'instruction dont la mise en œuvre n'est pas forcément nécessaire dans tous les cas où le risque de récidive est examiné –, il y a lieu d'en tenir compte (ATF 143 IV 9 précité consid. 2.8 et les réf. citées). En général, la mise en danger de la sécurité d'autrui est d'autant plus grande que les actes redoutés sont graves. En revanche, le rapport entre gravité et rigueur des conditions pour admettre un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 TF 1B_206/2018 du 23 mai 2018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 TF 1B_3/2019 du 17 janvier 2019 consid. 3.1). Le risque de récidive peut également se fonder sur les infractions faisant l'objet de la procédure pénale en cours, si le prévenu est fortement soupçonné – avec une probabilité confinant à la certitude – de les avoir commises (ATF 143 IV 9 consid. 2.3.1 ; TF 1B_3/2019 du 17 janvier 2019 consid. 3.1).</w:t>
      </w:r>
    </w:p>
    <w:p>
      <w:r>
        <w:rPr>
          <w:b/>
        </w:rPr>
        <w:t>E. 2.3</w:t>
      </w:r>
    </w:p>
    <w:p>
      <w:r>
        <w:t>En l’espèce, le recourant ne conteste pas, à juste titre, l’existence de soupçons suffisants de culpabilité. S’agissant du risque de réitération, il est vrai qu’entendu par le Ministère public le 3 octobre 2019, X.________ a pris « l’engagement, le jour où [il] ser[ait] libéré, de ne pas reprendre contact avec P.________, directement ou par téléphone, à moins qu’elle ne [l’]y invite » (PV aud. 3, lignes 75-77). Il est également vrai qu’un début de prise de conscience a pu s’opérer chez le prévenu. Mais il n’en reste pas moins probable que, s’il était remis en liberté sans autre mesure, X.________ qui, quand bien même il s’en défend, paraît souffrir d’un problème d’alcool et qui doit prendre des anxiolytiques, consommerait à nouveau de l’alcool tôt ou tard et que, dans l’état consécutif à cette consommation, il pourrait bien chercher à entrer en contact avec son ex-compagne, sur un mode agressif, malgré les engagements pris le 3 octobre 2019. Il ne faut également pas perdre de vue que le recourant a déjà été condamné en 2017 pour des actes de violence à l’encontre de sa précédente compagne. Le risque de réitération est donc existant et concret. Suivant la nature de la prise en charge auprès de la Fondation de Nant, il est possible que le recourant pourra être remis en liberté, au bénéfice d’une mesure de substitution consistant dans l’obligation de suivre le traitement, une fois que celui-ci pourra effectivement débuter. Toutefois, aussi longtemps que la nature de la prise en charge – dont l’initiative doit venir du prévenu et non des autorités pénales – reste floue, d’une part, et que la date de la première séance n’est pas proche, d’autre part, il ne peut être question de remettre le recourant en liberté. Dans ces circonstances, la prolongation de la détention provisoire pour une durée d’un mois, telle qu’ordonnée par le Tribunal des mesures de contrainte, ne prête pas le flanc à la critique et doit être confirmée.</w:t>
      </w:r>
    </w:p>
    <w:p>
      <w:r>
        <w:rPr>
          <w:b/>
        </w:rPr>
        <w:t>E. 3</w:t>
      </w:r>
    </w:p>
    <w:p>
      <w:r>
        <w:t>Il résulte de ce qui précède que le recours, manifestement mal fondé, doit être rejeté sans échange d’écritures (art. 390 al. 2 CPP) et l’ordonnance attaquée confirmée. Le défenseur d’office de X.________ a produit une liste de ses opérations faisant étant d’une activité de 3,7 heures pour la rédaction et l’envoi de son recours (P. 43/1). Cette durée est justifiée. En revanche, les débours allégués, par 74 fr. 70, doivent être réduits pour être fixés forfaitairement à 2 % du défraiement hors TVA (art. 3bis al. 1 RAJ [Règlement sur l’assistance judiciaire en matière civile du 7 décembre 2010 ; BLV 211.02.3], applicable par renvoi de l’art. 26b TFIP [Tarif des frais de procédure et indemnités en matière pénale du 28 septembre 2010 ; BLV 312.03.1]). Ainsi, c’est une indemnité de 731 fr. 60, correspondant à 3,7 heures d’activité au tarif horaire de 180 fr., par 666 fr., des débours forfaitaires, par 13 fr. 30, et la TVA, par 52 fr. 30, qui sera allouée à Me Philippe Baudraz. Les frais de la procédure de recours, constitués de l'émolument d'arrêt, par 990 fr. (art. 20 al. 1 TFIP), et des frais imputables à la défense d'office (art. 422 al. 1 et 2 let. a CPP), par 731 fr. 60, seront mis à la charge du recourant, qui succombe (art. 428 al. 1, 1 re phrase,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17 octobre 2019 est confirmée. III. L’indemnité allouée au défenseur d’office de X.________ est fixée à 731 fr. 60 (sept cent trente et un francs et soixante centimes). IV. Les frais d’arrêt, par 990 fr. (neuf cent nonante francs), ainsi que l’indemnité due au défenseur d’office de X.________, par 731 fr. 60 (sept cent trente et un francs et soixante centimes), sont mis à la charge de ce dernier. V. Le remboursement à l’Etat de l’indemnité allouée au chiffre III ci-dessus ne sera exigible que pour autant que la situation financière de X.________ le permette. VI. L’arrêt est exécutoire. Le président : La greffière : Du Le présent arrêt, dont la rédaction a été approuvée à huis clos, est notifié, par l'envoi d'une copie complète, à : - Me Philippe Baudraz, avocat (pour X.________), - Ministère public central, et communiqué à : - Mme la Présidente du Tribunal des mesures de contrainte, - M. le Procureur de l’arrondissement de l’Est vaudois, - Me Diana Pereira, avocate (pour P.________),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