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2019 / 9 vom 7. Januar 2019</w:t>
      </w:r>
    </w:p>
    <w:p>
      <w:r>
        <w:t>VD Tribunal cantonal, 2019-01-07, FR</w:t>
      </w:r>
    </w:p>
    <w:p>
      <w:r>
        <w:rPr>
          <w:b/>
        </w:rPr>
        <w:t xml:space="preserve">Quelle: </w:t>
      </w:r>
      <w:r>
        <w:t>https://mcp.opencaselaw.ch/entscheid/vd_findinfo_D_cision___2019___9</w:t>
      </w:r>
    </w:p>
    <w:p>
      <w:r>
        <w:t>FR: VD_FINDINFO Décision / 2019 / 9 du 7 janvier 2019</w:t>
      </w:r>
    </w:p>
    <w:p>
      <w:r>
        <w:t>IT: VD_FINDINFO Décision / 2019 / 9 del 7 gennaio 2019</w:t>
      </w:r>
    </w:p>
    <w:p>
      <w:pPr>
        <w:pStyle w:val="Heading2"/>
      </w:pPr>
      <w:r>
        <w:t>Regeste</w:t>
      </w:r>
    </w:p>
    <w:p>
      <w:r>
        <w:t>DÉTENTION PROVISOIRE, RISQUE DE FUITE, RISQUE DE COLLUSION | 221 al. 1 let. a CPP (CH), 221 al. 1 let. b CPP (CH), 221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de X.________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w:t>
      </w:r>
    </w:p>
    <w:p>
      <w:r>
        <w:rPr>
          <w:b/>
        </w:rPr>
        <w:t>E. 3.1</w:t>
      </w:r>
    </w:p>
    <w:p>
      <w:r>
        <w:t>Le recourant ne conteste pas l'existence d'indices sérieux de culpabilité. Il soutient en revanche qu'il se serait expliqué entièrement sur son activité délictueuse, dont l'ampleur serait par conséquent complètement établie.</w:t>
      </w:r>
    </w:p>
    <w:p>
      <w:r>
        <w:rPr>
          <w:b/>
        </w:rPr>
        <w:t>E. 3.2</w:t>
      </w:r>
    </w:p>
    <w:p>
      <w:r>
        <w:t>A teneur de l’art. 221 al. 1 CPP, la détention provisoire suppose que le prévenu soit fortement soupçonné d’avoir commis un crime ou un délit.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La mise en détention provisoire n’est possible que s’il existe à l’égard de l’auteur présumé, et préalablement à toute autre cause, de graves soupçons de culpabilité d’avoir commis un crime ou un délit (ATF 139 IV 186 consid. 2; Schmocker, in Kuhn/Jeanneret [éd.], Commentaire romand, Code de procédure pénale suisse, Bâle 2011, nn. 7 ss ad art. 221 CPP).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ATF 143 IV 316 consid. 3.1 et 3.2). En d’autres termes, les soupçons doivent se renforcer plus l’instruction avance et plus l’issue du jugement au fond approche. Si des raisons plausibles de soupçonner une personne d’avoir commis une infraction suffisent au début de l’enquête, ces motifs objectifs doivent passer de plausibles à vraisemblables (TF 1B_276/2018 du 27 juin 2018 consid. 2.2).</w:t>
      </w:r>
    </w:p>
    <w:p>
      <w:r>
        <w:rPr>
          <w:b/>
        </w:rPr>
        <w:t>E. 3.3</w:t>
      </w:r>
    </w:p>
    <w:p>
      <w:r>
        <w:t>En l’espèce, le Tribunal des mesures de contrainte a considéré qu'au vu notamment des différentes versions servies par les protagonistes de cette affaire, on ne pouvait pas exclure que X.________ minimisât l’ampleur de son activité délictueuse.</w:t>
      </w:r>
    </w:p>
    <w:p>
      <w:r>
        <w:rPr>
          <w:b/>
        </w:rPr>
        <w:t>E. 3.4</w:t>
      </w:r>
    </w:p>
    <w:p>
      <w:r>
        <w:t>Cette appréciation échappe à la critique et peut être confirmée. A cet égard, d'un part, on relèvera que le prévenu a reconnu, devant la police et le Ministère public, avoir confectionné une seule carte d’achat provisoire N.________ frauduleuse, laquelle aurait ensuite été utilisée par Z.________ le 11 décembre 2018 à [...]. Toutefois, le dernier nommé a expliqué au Ministère public, lors de son arrestation, que le prévenu l’avait contacté fin novembre 2018 en lui disant qu’il avait plusieurs cartes N.________ frauduleuses à revendre (PV aud. 5, l. 32 à 34). De plus, la fouille du véhicule Z.________ a permis la découverte d’un ticket d’achat N.________, daté du 28 novembre 2018, portant sur l’acquisition le même jour à [...] de deux téléphones cellulaires iPhone, d’un MacBook Pro et d’un chargeur à induction, pour un montant total de 3'786 fr. 80. Par ailleurs, le témoin [...] a confirmé avoir vu le chargeur à induction susmentionné dans les affaires de Z.________ à son domicile (PV aud. 6, l. 46). Ce témoin a en outre indiqué que Z.________ lui a demandé de lui prêter une somme d’argent pour un « business » en lien avec l’acquisition d’une carte N.________ (PV aud. 6, l. 24 à 29). Enfin, entendu par l'autorité intimée le 21 décembre 2018, le prévenu a finalement admis qu’il n’avait pas agi qu’à une seule reprise mais qu’il avait déjà remis une carte frauduleuse à Z.________ le 26 novembre 2018. D'autre part, comme l'a indiqué le Ministère public dans ses déterminations du 3 janvier 2019 (P. 17), il ressort du rapport d'investigation complémentaire du 21 décembre 2018 (P. 17/1) que trois autres cas d'utilisations frauduleuses de cartes d'achat N.________ falsifiées se seraient produits, commis vraisemblablement par W.________. Le premier cas aurait eu lieu le 24 novembre 2018 au centre N.________ de [...], où du matériel informatique et de téléphonie aurait été acheté pour un montant de 4'455 francs. Le second cas aurait eu lieu le 10 décembre 2018 au centre N.________ de [...], où du matériel de téléphonie aurait été acheté pour un montant de 4'796 francs. Le troisième cas aurait eu lieu le 18 décembre 2018 au centre N.________ de  [...], où W.________ aurait tenté d'acquérir du matériel informatique pour un montant de plus de 8'000 francs. Or le prévenu a également déclaré, lors de son audition d'arrestation du 20 décembre 2018 (cf. PV aud. 7), que ce même W.________ l'avait accompagné lors de la transaction qui avait eu lieu le 11 décembre 2018, dans le parking du Lausanne Palace, précisément entre lui-même et Z.________. Au vu de ces éléments et à ce stade de l’enquête, qui débute à peine, il y a lieu de considérer non seulement qu’il existe des soupçons suffisants au sens de l’art. 221 al. 1 CPP, ce que le prévenu ne conteste pas, mais aussi que l'ampleur de l'activité délictueuse de l'intéressé n'est pas encore établie, ce dernier fournissant des explications au compte-goutte et adaptant manifestement ses aveux à la situation. Le prévenu semble en particulier avoir menti sur le nombre de cartes N.________ frauduleuses confectionnées.</w:t>
      </w:r>
    </w:p>
    <w:p>
      <w:r>
        <w:rPr>
          <w:b/>
        </w:rPr>
        <w:t>E. 4</w:t>
      </w:r>
    </w:p>
    <w:p>
      <w:r>
        <w:t>Le recourant conteste l’existence d’un risque de fuite (art. 221 al. 1 let. a CPP) au motif qu'il perdrait son statut de frontalier, ce qui serait bien plus problématique que de se présenter à l'autorité judiciaire.</w:t>
      </w:r>
    </w:p>
    <w:p>
      <w:r>
        <w:rPr>
          <w:b/>
        </w:rPr>
        <w:t>E. 4.1</w:t>
      </w:r>
    </w:p>
    <w:p>
      <w:r>
        <w:t>Selon la jurisprudence, le risque de fuite au sens de l'art. 221 al. 1 let. a CPP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(ATF 117 Ia 69 consid. 4a p. 70 et la jurisprudence citée; TF 1B_249/2013 du 12 août 2013, consid. 6.1). Les circons-tances particulières de chaque cas d'espèce doivent être prises en compte (TF 1B_393/2015 du 9 décembre 2015 consid. 2.2 et la référence citée). La gravité de l'infraction ne peut pas, à elle seule, justifier la prolongation de la détention, même si elle permet souvent de présumer un danger de fuite en raison de l'importance de la peine dont le prévenu est menacé (ATF 125 I 60 consid. 3a p. 62; ATF 117 Ia 69 consid. 4a p. 70).</w:t>
      </w:r>
    </w:p>
    <w:p>
      <w:r>
        <w:rPr>
          <w:b/>
        </w:rPr>
        <w:t>E. 4.2</w:t>
      </w:r>
    </w:p>
    <w:p>
      <w:r>
        <w:t>En l’occurrence, le Tribunal des mesures de contrainte a estimé que le risque de fuite était concret. Le prévenu est ressortissant de France, soit d'un pays qui n'extrade pas ses ressortissants. Par ailleurs, le fait que l'amie du prévenu travaille en Suisse n'y crée pas d'attache particulière, d’autant que l'intéressée vit également sur territoire français. Le prévenu n’a donc pas de réel lien avec la Suisse. Certes, l'intéressé a déclaré au terme de son audition par l'autorité intimée qu’une fois libéré, il retournerait vivre en France tout en restant à disposition des autorités judiciaires helvétiques. Pour la Cour de céans, qui partage l'avis du Tribunal des mesures de contrainte, cette unique déclaration d’intention ne saurait suffire à évincer le risque en cause. Au regard des faits qui lui sont reprochés et de la peine à laquelle il est exposé, le risque que le recourant prenne la fuite pour se soustraire à l’action pénale est manifeste et justifie son maintien en détention provisoire.</w:t>
      </w:r>
    </w:p>
    <w:p>
      <w:r>
        <w:rPr>
          <w:b/>
        </w:rPr>
        <w:t>E. 5</w:t>
      </w:r>
    </w:p>
    <w:p>
      <w:r>
        <w:t>Le recourant conteste enfin l’existence d’un risque de collusion (art. 221 al. 1 let. b CPP).</w:t>
      </w:r>
    </w:p>
    <w:p>
      <w:r>
        <w:rPr>
          <w:b/>
        </w:rPr>
        <w:t>E. 5.1</w:t>
      </w:r>
    </w:p>
    <w:p>
      <w:r>
        <w:t>Le maintien en détention provisoire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Ce motif de détention avant jugement vise ainsi à garantir la constatation exacte et complète des faits; il concerne toutes les personnes sur lesquelles le prévenu pourrait exercer une influence pour empêcher ou compromettre la recherche de la vérité (par exemple par la menace, la séduction ou la mise en commun d’intérêts identiques), soit non seulement des coaccusés ou des complices, mais aussi la partie plaignante, les témoins, les experts ou toute autre personne amenée à participer à la procédure (Schmocker, op. cit., nn. 14 et 15 ad art. 221 CPP; cf. ATF 137 IV 122 consid. 6.2 et 6.4). Selon la jurisprudence, on ne saurait toutefois se contenter d’un risque de collusion abstrait, car ce risque est inhérent à toute procédure pénale en cours et doit, pour permettre à lui seul le maintien en détention provisoire, présenter une certaine vraisemblance. L’autorité doit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132 I 21 consid. 3.2; TF 1B_79/2012 du 22 février 2012 consid. 5.1; TF 1B_55/2010 du 11 mars 2010 consid. 3.1 et les références citées).</w:t>
      </w:r>
    </w:p>
    <w:p>
      <w:r>
        <w:rPr>
          <w:b/>
        </w:rPr>
        <w:t>E. 5.2</w:t>
      </w:r>
    </w:p>
    <w:p>
      <w:r>
        <w:t>En l’occurrence, le Tribunal des mesures de contrainte a considéré que le risque de collusion était réalisé dès lors que l’enquête n’en était à qu’à ses débuts, que des contrôles étaient encore nécessaires afin de vérifier la cohérence des déclarations faites par le prévenu, que les déclarations des différents protagonistes ne se recoupaient pas intégralement et enfin que se posait la question du nombre de cartes confectionnées par le prévenu. A l’instar de l’autorité intimée, la Cour de céans estime qu'il s’impose, au vu notamment des divergences séparant les versions des différents protagonistes, d’éviter que le recourant puisse prendre contact avec ses comparses en vue d’influencer leurs déclarations, faute de quoi l’enquête serait sérieusement mise à mal. Le risque de collusion subsiste ainsi de manière concrète et justifie également le maintien du recourant en détention provisoire.</w:t>
      </w:r>
    </w:p>
    <w:p>
      <w:r>
        <w:rPr>
          <w:b/>
        </w:rPr>
        <w:t>E. 6</w:t>
      </w:r>
    </w:p>
    <w:p>
      <w:r>
        <w:t>Aucune des mesures de substitution proposées par le recourant n'apparaît à même de pallier les risques retenus. Ni la saisie des documents d’identité, ni l'obligation de se présenter hebdomadairement à un poste de police ne sont en effet suffisantes, ces mesures étant sans pertinence en particulier du point de vue du risque de collusion, le prévenu demeurant relativement libre de ses mouvements. S’agissant du risque de fuite, il faut observer que les mesures de substitution précitées n'empêcheraient pas le prévenu de quitter le territoire suisse.</w:t>
      </w:r>
    </w:p>
    <w:p>
      <w:r>
        <w:rPr>
          <w:b/>
        </w:rPr>
        <w:t>E. 7.1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consid.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consid. 4.1; ATF 133 I 168 consid. 4.1; ATF 132 I 21 consid. 4.1). Toutefois, le fait que la peine encourue puisse être assortie du sursis, total ou partiel, n'est pas déterminant sous l'angle de la proportionnalité (ATF 133 I 270 consid. 3.4.2).</w:t>
      </w:r>
    </w:p>
    <w:p>
      <w:r>
        <w:rPr>
          <w:b/>
        </w:rPr>
        <w:t>E. 7.2</w:t>
      </w:r>
    </w:p>
    <w:p>
      <w:r>
        <w:t>Dans le cas présent, le recourant est détenu depuis le 20 décembre 2018, soit depuis moins d’un mois. Le principe de la proportionnalité est respecté compte tenu des charges pesant sur lui, de la peine susceptible d'être prononcée à son encontre et des mesures d'instruction à venir.</w:t>
      </w:r>
    </w:p>
    <w:p>
      <w:r>
        <w:rPr>
          <w:b/>
        </w:rPr>
        <w:t>E. 8</w:t>
      </w:r>
    </w:p>
    <w:p>
      <w:r>
        <w:t>En définitive, le recours doit être rejeté et l’ordonnance du 21 décembre 2018 confirmée. Les frais de la procédure de recours, constitués en l’espèce de l’émolument d'arrêt, par 990 fr. (art. 20 al. 1 TFIP [Tarif des frais judiciaires de procédure et indemnités en matière pénale du 28 septembre 2010; RSV 312.03.1]), et des frais imputables à la défense d’office (art. 422 al. 1 et 2 let. a CPP), fixés à 540 fr., plus la TVA, par 41 fr. 60, soit à 581 fr. 60,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L’ordonnance du 21 décembre 2018 est confirmée. III. L’indemnité allouée au défenseur d’office de X.________ est fixée à 581 fr. 60 (cinq cent huitante et un francs et soixante centimes). IV. Les frais d’arrêt, par 990 fr. (neuf cent nonante francs), ainsi que l’indemnité due au défenseur d’office de X.________, par 581 fr. 60 (cinq cent huitante et un francs et soixante centimes), sont mis à la charge de ce dernier. V. Le remboursement à l'Etat de l'indemnité allouée au chiffre III ci-dessus ne sera exigible que pour autant que la situation économique de X.________ le permette. VI. L’arrêt est exécutoire. Le président :               Le greffier : Du Le présent arrêt, dont la rédaction a été approuvée à huis clos, est notifié, par l'envoi d'une copie complète, à : - Me Benoît Morzier, avocat (pour X.________), - Ministère public central, et communiqué à : - Mme la Présidente du Tribunal des mesures de contrainte, - Mme la Procureure de l'arrondissement de l'Est vaudois, - Service de la population, par l’envoi de photocopies. Le présent arrêt peut faire l'objet d'un recours en matière pénale devant le Tribunal fédéral au sens des art. 78 ss LTF (Loi fédérale du 17 juin 2005 sur le Tribunal fédéral;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