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882 vom 28. Oktober 2019</w:t>
      </w:r>
    </w:p>
    <w:p>
      <w:r>
        <w:t>VD Tribunal cantonal, 2019-10-28, FR</w:t>
      </w:r>
    </w:p>
    <w:p>
      <w:r>
        <w:rPr>
          <w:b/>
        </w:rPr>
        <w:t xml:space="preserve">Quelle: </w:t>
      </w:r>
      <w:r>
        <w:t>https://mcp.opencaselaw.ch/entscheid/vd_findinfo_D_cision___2019___882</w:t>
      </w:r>
    </w:p>
    <w:p>
      <w:r>
        <w:t>FR: VD_FINDINFO Décision / 2019 / 882 du 28 octobre 2019</w:t>
      </w:r>
    </w:p>
    <w:p>
      <w:r>
        <w:t>IT: VD_FINDINFO Décision / 2019 / 882 del 28 ottobre 2019</w:t>
      </w:r>
    </w:p>
    <w:p>
      <w:pPr>
        <w:pStyle w:val="Heading2"/>
      </w:pPr>
      <w:r>
        <w:t>Regeste</w:t>
      </w:r>
    </w:p>
    <w:p>
      <w:r>
        <w:t>À VIE, RÉCLUSION, LIBÉRATION CONDITIONNELLE, REJET DE LA DEMANDE | 86 CP, 26 al. 1 let. a LEP, 38 al. 1 LEP</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par le condamné qui a qualité pour recourir au sens de l’art. 382 al. 1 CPP. Le recourant ayant clairement exprimé sa volonté de recourir et d’obtenir la libération conditionnelle, la Cour de céans considère que la motivation du recours est suffisante et qu’il n’y a pas lieu de faire application de l’art. 385 al. 2 CPP, de sorte qu’il est recevable.</w:t>
      </w:r>
    </w:p>
    <w:p>
      <w:r>
        <w:rPr>
          <w:b/>
        </w:rPr>
        <w:t>E. 2.1</w:t>
      </w:r>
    </w:p>
    <w:p>
      <w:r>
        <w:t>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 TF 6B_103/2019 précité).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et les références citées ; TF 6B_1003/2014 du 13 janvier 2015 consid. 3.1). Selon la jurisprudence du Tribunal fédéral,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Dans le cas d’une peine privative de liberté à vie, puisqu’il est impossible de comparer sensément le pronostic pénal en cas de libération conditionnelle avec le pronostic pénal en cas d’exécution complète de la peine, il y a lieu de poser simplement un pronostic pour le cas où le condamné bénéficierait de la libération conditionnelle.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134 IV 140 consid. 4.2 ; ATF 133 IV 201 précité ; TF 6B_353/2019 précité).</w:t>
      </w:r>
    </w:p>
    <w:p>
      <w:r>
        <w:rPr>
          <w:b/>
        </w:rPr>
        <w:t>E. 2.2</w:t>
      </w:r>
    </w:p>
    <w:p>
      <w:r>
        <w:t>En l’espèce, le recourant est incarcéré depuis le 25 septembre 1996, de sorte qu’il est éligible à la libération conditionnelle depuis le 15 septembre 2011.</w:t>
      </w:r>
    </w:p>
    <w:p>
      <w:r>
        <w:rPr>
          <w:b/>
        </w:rPr>
        <w:t>E. 3.1</w:t>
      </w:r>
    </w:p>
    <w:p>
      <w:r>
        <w:t>Le recourant invoque sa longue détention qui dure depuis 23 ans et l’absence d’actes sexuels dans le crime – qu’il admet – pour lequel il a été condamné.</w:t>
      </w:r>
    </w:p>
    <w:p>
      <w:r>
        <w:rPr>
          <w:b/>
        </w:rPr>
        <w:t>E. 3.2</w:t>
      </w:r>
    </w:p>
    <w:p>
      <w:r>
        <w:t>En l’espèce, A.________, ressortissant somalien, a été condamné à la réclusion à vie pour avoir tué la fille de son amie âgée d’un an par des coups donnés avec le coude, les mains, les genoux ou les pieds, après avoir pratiqué des manipulations sexuelles sur l’enfant. Le 14 octobre 2019, le Collège des juges d’appli­cation des peines a refusé pour la septième fois d’accorder à A.________ la libération conditionnelle, estimant qu’elle était toujours largement prématurée. Il ressort clairement du dossier – en particulier des deux expertises psychiatriques de 2011 et de 2016, et du rapport du CNP du 1 er avril 2019 – que le recourant souffre de schizophrénie paranoïde, maladie psychiatrique grave du registre de la psychose nécessitant un traitement médicamenteux sur le long terme, la poursuite du traitement médical apparaissant comme une condition à la réduction du risque de récidive du condamné. Les différents intervenants s’accordent pour dire que le recourant a tendance à minimiser les faits et à se déresponsabiliser, qu’il ne reconnaît toujours que partielle­ment les faits pour lesquels il a été condamné, admettant l’homicide mais niant s’être rendu coupable d’actes d’ordre sexuel sur la victime, qu’il considère que son ex-amie est la principale responsable du décès de sa fille car elle était venue chez lui avec ses enfants, que ses capacités d’empathie demeurent particulièrement faibles et qu’il ne poursuivrait pas son traitement médicamenteux s’il retournait en Somalie, à moins qu’on ne l’y oblige. Le risque de récidive d’actes de même nature que ceux pour lesquels il a été condamné, qui dépend avant tout de la stabilité de son état psychique, est considéré comme moyen. En détention, A.________ bénéficie d’un suivi psychiatrique et psychothérapeu­tique depuis 2002. Depuis son transfert à l’EEPB le 16 janvier 2018, il a poursuivi un suivi psychiatrique et un traitement neuroleptique sous la forme d’injections. L’interruption de son traitement neuroleptique à mi-mai 2019, suggéré par la CIC, s’est révélé être un échec malgré l’intensification du suivi mis en place, le recourant ayant présenté une recrudescence des idées délirantes de persécution et d’érotomanie et une agitation interne importante. Au vu de la fragilité psychique du recourant consta­tée, un traitement médicamenteux a été réintroduit, tout d’abord par voie orale, puis par dépôt. On ne peut affirmer que le suivi dont a bénéficié le recourant a pu avoir un impact important sur son fonctionnement psychique, de sorte qu’il reste encore dépendant d’un traitement imposé. Afin de conserver une stabilité psychique, le condamné a également besoin d’un cadre de vie très bien défini et structuré, cela même s’il devait être détenu dans un milieu plus ouvert. Selon le rapport d’évaluation criminologique de l’UEC du 11 février 2019, le recourant n’a pas évolué depuis sa dernière évaluation criminologique de 2017, puisqu’il présente toujours une compliance médicamenteuse passive, accep­tant de recevoir des injections sans en reconnaître le besoin et la raison d’être. Le recourant demeure dans le déni de ses troubles et ne comprend pas pourquoi il a besoin d’un traitement. Il reste persuadé qu’il ne souffre d’aucune maladie psychique et affirme qu’il est en bonne santé. Il peut certes être donné acte au recourant qu’il est en détention depuis de longues années. Il reste cependant que le pronostic quant à son comportement futur doit être qualifié de défavorable, l’écoulement du temps ne changeant rien au fait que le recourant nie une partie des faits pour lesquels il a été condamné et qu’il présente une maladie psychiatrique grave dont il n’admet pas l’existence et pour laquelle il ne reconnaît pas la nécessité d’un traitement. De l’avis des différents intervenants, il convient maintenant de tester, sous contrôle médical et dans un cadre structuré qui le stabilise, l’évolution et le comportement de A.________ en cas de diminution ou de suppression de la médication, afin de connaître de manière plus approfondie l’évolution de son état de santé mentale, sa dépendance réelle aux médicaments et ses capacités d’adaptation, avant d’envisager son rapa­triement dans son pays d’origine. Au vu de ce qui précède, c’est à bon droit que les premiers juges ont considéré que le pronostic quant au comportement futur du recourant était résolument défavorable et, partant, ont refusé de lui accorder la libération conditionnelle.</w:t>
      </w:r>
    </w:p>
    <w:p>
      <w:r>
        <w:rPr>
          <w:b/>
        </w:rPr>
        <w:t>E. 4</w:t>
      </w:r>
    </w:p>
    <w:p>
      <w:r>
        <w:t>En définitive, le recours interjeté par A.________, manifestement mal fondé, doit être rejeté sans échange d’écritures (art. 390 al. 2 CPP) et la décision du 14 octobre 2019 confirmée. Les frais de la procédure de recours, constitués en l’espèce de l’émolument d’arrêt, par 1'650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14 octobre 2019 est confirmée. III. Les frais d’arrêt, par 1'650 fr. (mille six cent cinquante francs), sont mis à la charge de A.________. IV. L’arrêt est exécutoire. Le président :               La greffière : Du Le présent arrêt, dont la rédaction a été approuvée à huis clos, est notifié, par l'envoi d'une copie complète, à : - M. A.________, - Ministère public central, et communiqué à : ‑ M. le Président du Collège des juges d’application des peines, - M. le Procureur du Ministère public central, - Office d’exécution des peines (OEP/PPL/10217/VRI), - Direction de l’Etablissement d’exécution des peines de Bellevue, - Service de la population /A.________, né le 01.01.1965), - Me Stefan Disch, avocat (conseil de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