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879 vom 28. Oktober 2019</w:t>
      </w:r>
    </w:p>
    <w:p>
      <w:r>
        <w:t>VD Tribunal cantonal, 2019-10-28, FR</w:t>
      </w:r>
    </w:p>
    <w:p>
      <w:r>
        <w:rPr>
          <w:b/>
        </w:rPr>
        <w:t xml:space="preserve">Quelle: </w:t>
      </w:r>
      <w:r>
        <w:t>https://mcp.opencaselaw.ch/entscheid/vd_findinfo_D_cision___2019___879</w:t>
      </w:r>
    </w:p>
    <w:p>
      <w:r>
        <w:t>FR: VD_FINDINFO Décision / 2019 / 879 du 28 octobre 2019</w:t>
      </w:r>
    </w:p>
    <w:p>
      <w:r>
        <w:t>IT: VD_FINDINFO Décision / 2019 / 879 del 28 ottobre 2019</w:t>
      </w:r>
    </w:p>
    <w:p>
      <w:pPr>
        <w:pStyle w:val="Heading2"/>
      </w:pPr>
      <w:r>
        <w:t>Regeste</w:t>
      </w:r>
    </w:p>
    <w:p>
      <w:r>
        <w:t>DÉTENTION PROVISOIRE, PROPORTIONNALITÉ, MESURE DE SUBSTITUTION À LA DÉTENTION | 221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w:t>
      </w:r>
    </w:p>
    <w:p>
      <w:r>
        <w:t>CEDH [Convention du 4 novembre 1950 de sauvegarde des droits de l'homme et des libertés fondamentales ; RS 0.101].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 CREP 1 er avril 2015/227). Une durée excessive de la détention constitue une limitation disproportionnée du droit à la liberté personnelle. Dans l’examen de la proportionnalité de la durée de la détention, il y a lieu de prendre en compte la gravité des infractions faisant l’objet de l’instruction (TF 1B_218/2013 du 16 juillet 2013 consid. 2.1 et les références citées).</w:t>
      </w:r>
    </w:p>
    <w:p>
      <w:r>
        <w:rPr>
          <w:b/>
        </w:rPr>
        <w:t>E. 3.1</w:t>
      </w:r>
    </w:p>
    <w:p>
      <w:r>
        <w:t>Invoquant une violation du principe de la proportionnalité, le recourant fait valoir que les faits qui lui sont reprochés se seraient déroulés sur une très courte période, soit moins d’une semaine. En outre, il s’agirait selon lui d’un « pétage de câble » (cf. PV d’audition n° 4, l. 181 et 182) et il se serait aujourd’hui calmé. Par ailleurs, à l’exception des infractions des art. 181 et 197 CP, les infractions en cause ne seraient poursuivies que sur plainte. Quant à la pornographie qui lui est reprochée – l’envoi de vingt photos à caractère sexuel de la plaignante au fils de celle-ci de 13 ans –, ce n’est pas celui-ci qui les a réceptionnées, de sorte que l’infraction ne paraît prima facie pas réalisée ; idem pour l’infraction de contrainte, puisque celui-ci n’a pas envoyé la lettre au Service de protection de la jeunesse. Il en déduit que, selon toute vraisemblance, il ne devrait pas encourir une peine privative de liberté. Comme il touche des indemnités de l’assurance-chômage, il pourrait s’acquitter d’une peine pécuniaire et, même, de celle de 150 jours-amende à 60 fr. le jour avec 3 ans de sursis infligée en 2017 si celui-ci était révoqué.</w:t>
      </w:r>
    </w:p>
    <w:p>
      <w:r>
        <w:rPr>
          <w:b/>
        </w:rPr>
        <w:t>E. 3.2</w:t>
      </w:r>
    </w:p>
    <w:p>
      <w:r>
        <w:t>La proportionnalité de la détention provisoire (art. 212 al. 3 CPP) doit être examinée au regard de l’ensemble des circonstances concrètes du cas d’espèce (ATF 133 I 168 consid. 4.1 et les arrêts cités). Toute personne qui est mise en détention préventive a le droit d’être jugée dans un délai raisonnable ou d’être libérée pendant la procédure pénale (art. 31 al. 3 Cst. [Constitution fédérale du 18 avril 1999 ; RS 101] et 5 par.</w:t>
      </w:r>
    </w:p>
    <w:p>
      <w:r>
        <w:rPr>
          <w:b/>
        </w:rPr>
        <w:t>E. 3.3</w:t>
      </w:r>
    </w:p>
    <w:p>
      <w:r>
        <w:t>En l’espèce, le recourant se méprend manifestement sur la peine privative de liberté prévisible. En effet, il a des antécédents judiciaires : hormis une peine privative de liberté de 27 mois en 2005 pour trafic de drogue, E.________ a notamment été condamné en 2017 à la peine pécuniaire précitée pour des actes similaires à ceux qui lui sont présentement reprochés, en relation avec une autre ex-amie (cf. casier judiciaire du prévenu ; cf. PV d’audition n° 3, R. 3 et R. 4, p. 2 et 3). Le fait qu’il aurait réitéré de tels actes alors qu’il était sous la menace d’un sursis sera également pris en compte. S’agissant de ses mobiles, le recourant a visiblement eu pour but de blesser au maximum et de rabaisser son ex-amie, voire même de mêler les enfants de celle-ci. A cet égard, il convient de relever que, s’il prétend qu’il n’avait pas l’intention d’envoyer le 10 octobre 2019 au fils de moins de 16 ans des images où sa mère est représentée comme objet sexuel, et qu’il conteste avoir envoyé à son employeur et à la famille de celle-ci en Turquie de telles images, il admet que, dès le 7 octobre 2019, il savait qu’il s’agissait du WhatsApp du fils de la plaignante (cf. PV d’audition n° 3,  R. 11, p. 7), d’une part, et il ressort de ses messages qu’il conseillait à O.________ de ne pas aller travailler le lendemain car il enverrait des images d’elle compromettantes (cf. annexe à l’audition n° 3 : SMS du 13 octobre 2019 : « ok bon chance, les gents la bas vs tu voire bizzar » ). Les infractions de contrainte (art. 181 CP), de pornographie (art. 197 al. 1 CP) et de violation du domaine secret ou du domaine privé au moyen d’un appareil de prise de vue (art. 179 quater CP) sont toutes trois passibles d’une peine privative de liberté de 3 ans au plus et, à ce stade, il paraît peu prévisible que la plaignante retire sa plainte. De toute manière, à l’heure actuelle, elle n’est pas retirée et, même si elle l’était pour les infractions des art. 177, 179 quater et 179 septies CP, la peine privative de liberté encourue pour les autres infractions serait supérieure à 2 mois. Quant au fait que les actes auraient été commis sur une courte période, à savoir moins d’une semaine, c’est inexact. En effet, selon les déclarations de la plaignante, le recourant aurait envoyé à son insu à l’ex‑mari de cette dernière, en 2018 déjà, des images intimes d’elle ainsi que des vidéos de leurs ébats sexuels. Au vu de ce qui précède, le principe de la proportionnalité est respecté par la durée de deux mois fixée.</w:t>
      </w:r>
    </w:p>
    <w:p>
      <w:r>
        <w:rPr>
          <w:b/>
        </w:rPr>
        <w:t>E. 4.1</w:t>
      </w:r>
    </w:p>
    <w:p>
      <w:r>
        <w:t>Le recourant demande la mise en œuvre de mesures de substitution, susceptibles selon lui de parer aux risques de collusion et de récidive, sous la forme d’une interdiction stricte de contact (téléphone, Internet, courrier, messageries électroniques, Facebook, WhatsApp, etc.) avec O.________, sa famille, son entourage professionnel et amical, son nouveau compagnon et son ex-mari, ainsi que d’une interdiction de s’approcher à moins de 200 mètres du domicile de la plaignante et de son lieu de travail.</w:t>
      </w:r>
    </w:p>
    <w:p>
      <w:r>
        <w:rPr>
          <w:b/>
        </w:rPr>
        <w:t>E. 4.2</w:t>
      </w:r>
    </w:p>
    <w:p>
      <w:r>
        <w:t>Conformément au principe de la proportionnalité (cf.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in : Kuhn/Jeanneret [éd.], Commentaire romand, Code de procédure pénale suisse, Bâle 2011, n. 2 ad art. 237 CPP).</w:t>
      </w:r>
    </w:p>
    <w:p>
      <w:r>
        <w:rPr>
          <w:b/>
        </w:rPr>
        <w:t>E. 4.3</w:t>
      </w:r>
    </w:p>
    <w:p>
      <w:r>
        <w:t>En l’espèce, les mesures proposées par le recourant, si elles sont peut-être propres à parer au risque de récidive, ne sont pas suffisantes pour pallier le risque de collusion. En effet, même s’il est vrai que le matériel informatique du recourant a été saisi, ce simple fait ne saurait l’empêcher de prendre contact avec la victime et la famille de celle-ci, contrairement à ce qu’il soutient. Comme relevé à juste titre par le Tribunal des mesures de contrainte, l’enquête débute et des auditions doivent être menées dans l’entourage de la victime. Il est dès lors justifié d’attendre que ces mesures soient accomplies avant d’examiner à nouveau si le recourant pourra être libéré au bénéfice de mesures de substitution.</w:t>
      </w:r>
    </w:p>
    <w:p>
      <w:r>
        <w:rPr>
          <w:b/>
        </w:rPr>
        <w:t>E. 5</w:t>
      </w:r>
    </w:p>
    <w:p>
      <w:r>
        <w:t>En définitive, le recours, manifestement mal fondé, doit être rejeté sans échange d'écritures (art. 390 al. 2 CPP) et l'ordonnance attaquée confirmée. Les frais de la procédure de recours, constitués de l’émolument d’arrêt, par 1'100 fr. (art. 20 al. 1 TFIP [Tarif des frais de procédure et indemnités en matière pénale du 28 septembre 2010 ; BLV 312.03.1]), ainsi que des frais imputables à la défense d’office (art. 422 al. 1 et 2 let. a CPP), fixés à 675 fr. 60, qui comprennent des honoraires par 615 fr. (3.4 heures à 180 fr. l’heure), des débours forfaitaires de 2%, par 12 fr. 30 (cf. art. 26b TFIP, qui renvoie à l'art. 3 bis RAJ [Règlement sur l’assistance judiciaire en matière civile du 7 décembre 2010 ; BLV 211.02.3]) et la TVA sur le tout au taux de 7,7%, par 48 fr. 30,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19 octobre 2019 est confirmée. III. L’indemnité allouée au défenseur d’office d’E.________ est fixée à 675 fr. 60 (six cent septante-cinq francs et soixante centimes). IV. Les frais d’arrêt, par 1'100 fr. (mille cent francs), ainsi que l’indemnité due au défenseur d’office d’E.________, par 675 fr. 60 (six cent septante-cinq francs et soixante centimes), sont mis à la charge de ce dernier. V. Le remboursement à l'Etat de l'indemnité allouée au chiffre III ci-dessus ne sera exigible que pour autant que la situation financière d’E.________ le permette. VI. L’arrêt est exécutoire. Le président :               Le greffier : Du Le présent arrêt, dont la rédaction a été approuvée à huis clos, est notifié, par l'envoi d'une copie complète, à : - Me Cédric Matthey (avocat pour E.________), - Ministère public central, et communiqué à : - M. le Président du Tribunal des mesures de contrainte, ‑ Mme la Procureure de l’arrondissement de Lausanne, - Mme O.________,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