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878 vom 23. September 2019</w:t>
      </w:r>
    </w:p>
    <w:p>
      <w:r>
        <w:t>VD Tribunal cantonal, 2019-09-23, FR</w:t>
      </w:r>
    </w:p>
    <w:p>
      <w:r>
        <w:rPr>
          <w:b/>
        </w:rPr>
        <w:t xml:space="preserve">Quelle: </w:t>
      </w:r>
      <w:r>
        <w:t>https://mcp.opencaselaw.ch/entscheid/vd_findinfo_D_cision___2019___878</w:t>
      </w:r>
    </w:p>
    <w:p>
      <w:r>
        <w:t>FR: VD_FINDINFO Décision / 2019 / 878 du 23 septembre 2019</w:t>
      </w:r>
    </w:p>
    <w:p>
      <w:r>
        <w:t>IT: VD_FINDINFO Décision / 2019 / 878 del 23 settembre 2019</w:t>
      </w:r>
    </w:p>
    <w:p>
      <w:pPr>
        <w:pStyle w:val="Heading2"/>
      </w:pPr>
      <w:r>
        <w:t>Regeste</w:t>
      </w:r>
    </w:p>
    <w:p>
      <w:r>
        <w:t>DÉCISION D'IRRECEVABILITÉ, DÉLAI |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la jurisprudence, l'art. 310 CPP doit être appliqué conformément à l'adage « in dubio pro duriore » (TF 6B_1202/2018 du 11 janvier 2019 consid. 2.1 et les réf. citées).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w:t>
      </w:r>
    </w:p>
    <w:p>
      <w:r>
        <w:rPr>
          <w:b/>
        </w:rPr>
        <w:t>E. 3.1</w:t>
      </w:r>
    </w:p>
    <w:p>
      <w:r>
        <w:t>Le recourant conteste le refus d’entrer en matière de la Procureure, faisant valoir que le délai pour déposer plainte serait désormais de « 5 à 20 ans » et que les infractions qu’il dénonce se poursuivraient d’office.</w:t>
      </w:r>
    </w:p>
    <w:p>
      <w:r>
        <w:rPr>
          <w:b/>
        </w:rPr>
        <w:t>E. 3.2</w:t>
      </w:r>
    </w:p>
    <w:p>
      <w:r>
        <w:t>En l’occurrence, les menaces dont le recourant dit avoir été victime en août 2012 ont déjà fait l’objet d’une ordonnance de non-entrée en matière rendue le 13 juillet 2015, qui est devenue définitive et exécutoire le 31 juillet 2015. S’il entendait contester le bien-fondé de cette décision, il appartenait à l’intéressé de recourir, ce qu’il n’a pas fait. Le recourant n’établit au demeurant pas l’existence d’éléments nouveaux qui justifieraient une reprise de l’instruction au sens de l’art. 323 CPP (applicable par renvoi de l’art. 310 al. 2 CPP ; Moreillon/Parein-Reymond, Petit commentaire, Code de procédure pénale, 2 e éd., Bâle 2016, n. 12b ad 323 CPP). Les faits qui, selon le plaignant, seraient constitutifs de diffamation (173 CP [Code pénal suisse du 21 décembre 1937 ; RS 311.0]) et de violation du domaine secret ou du domaine privé au moyen d’un appareil de prise de vues (art. 179 quater CP) et qui seraient survenus en 2012, respectivement en 2018, ne se poursuivent que sur plainte. Or, l’art. 31 CP indique que le droit de porter plainte se prescrit par trois mois et que le délai court du jour où l’ayant droit a connu l’auteur de l’infraction. Par conséquent, comme l’a retenu la Procureure, la plainte déposée le 23 juillet 2019 par le recourant est manifestement tardive. Enfin, dans son recours, A.H.________ indique que les coups qui lui auraient été infligés en octobre 2014 n’auraient engendré aucune lésion visible. Ainsi, force est de considérer qu’il s’agirait tout au plus de voies de fait. Or, celles-ci ne se poursuivent d’office que si elles ont été infligées à réitérées reprises, soit de manière qui dénote une certaine habitude (Dupuis et al. [éd.], Petit commentaire, Code pénal, 2 e éd., Bâle 2017, n. 13 ad art. 126 CP), ce qui n’a nullement été allégué en l’espèce. La plainte est donc également tardive sur ce point. Au demeurant, comme l’a relevé la Procureure, il s’agirait d’une contravention, de sorte que ces faits seraient de toute évidence prescrits en application de l’art. 109 CP.</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Le montant de 550 fr. déjà versé par le recourant à titre de sûretés sera compensé avec ces frais (art. 383 al. 1 CPP ; art. 7 TFIP ; CREP 25 octobre 2017/730 ; CREP 15 septembre 2017/631). Par ces motifs, la Chambre des recours pénale prononce : I. Le recours est rejeté. II. L’ordonnance du 19 août 2019 est confirmée. III. Les frais d’arrêt, par 550 fr. (cinq cent cinquante francs), sont mis à la charge du recourant. IV. L'avance de frais de 550 fr. (cinq cent cinquante francs) versée par le recourant à titre de sûretés est compensée avec les frais mis à sa charge au chiffre III ci-dessus. V. L’arrêt est exécutoire. Le président :               La greffière : Du Le présent arrêt, dont la rédaction a été approuvée à huis clos, est notifié, par l'envoi d'une copie complète, à : - M. A.H.________,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