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870 vom 1. November 2019</w:t>
      </w:r>
    </w:p>
    <w:p>
      <w:r>
        <w:t>VD Tribunal cantonal, 2019-11-01, FR</w:t>
      </w:r>
    </w:p>
    <w:p>
      <w:r>
        <w:rPr>
          <w:b/>
        </w:rPr>
        <w:t xml:space="preserve">Quelle: </w:t>
      </w:r>
      <w:r>
        <w:t>https://mcp.opencaselaw.ch/entscheid/vd_findinfo_D_cision___2019___870</w:t>
      </w:r>
    </w:p>
    <w:p>
      <w:r>
        <w:t>FR: VD_FINDINFO Décision / 2019 / 870 du 1 novembre 2019</w:t>
      </w:r>
    </w:p>
    <w:p>
      <w:r>
        <w:t>IT: VD_FINDINFO Décision / 2019 / 870 del 1 novembre 2019</w:t>
      </w:r>
    </w:p>
    <w:p>
      <w:pPr>
        <w:pStyle w:val="Heading2"/>
      </w:pPr>
      <w:r>
        <w:t>Regeste</w:t>
      </w:r>
    </w:p>
    <w:p>
      <w:r>
        <w:t>DÉTENTION PROVISOIRE, RISQUE DE COLLUSION, RISQUE DE RÉCIDIVE | 180 CP, 221 al. 1 let. b CPP (CH), 221 al. 1 let. c CPP (CH), 221 al. 2 CPP (CH)</w:t>
      </w:r>
    </w:p>
    <w:p>
      <w:pPr>
        <w:pStyle w:val="Heading2"/>
      </w:pPr>
      <w:r>
        <w:t>Erwägungen</w:t>
      </w:r>
    </w:p>
    <w:p>
      <w:r>
        <w:rPr>
          <w:b/>
        </w:rPr>
        <w:t>E. 1</w:t>
      </w:r>
    </w:p>
    <w:p>
      <w:r>
        <w:t>Aux termes de l’art. 393 al. 1 let. c CPP (Code de procédure pénale suisse du 5 octobre 2007 ; RS 312.0), le recours est recevable contre les décisions du TMC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auprès de l’autorité compétente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Dans son recours, le recourant ne conteste pas expressément l’existence de soupçons de culpabilité suffisamment sérieux à son encontre pour justifier son maintien en détention provisoire. Il affirme cependant que le dossier de la cause ne contiendrait aucune preuve formelle de culpabilité et invoque le fait que son fils et son épouse ont retiré leur plainte pénale.</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la 143 consid. 3c ; TF 1B_423/2010 du 17 janvier 2011 consid. 4.1 ; Schmocker, op. cit., n. 8 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116 la 413 consid. 3c ; TF 1B_423/2010 du 17 janvier 2011 consid. 4.1).</w:t>
      </w:r>
    </w:p>
    <w:p>
      <w:r>
        <w:rPr>
          <w:b/>
        </w:rPr>
        <w:t>E. 3.3</w:t>
      </w:r>
    </w:p>
    <w:p>
      <w:r>
        <w:t>En l’occurrence, la première condition de l’art. 221 al. 1 CPP apparaît toujours réalisée, rien ne permettant de remettre en cause l’appréciation de l’autorité intimée dans ses précédentes décisions, ainsi que celle de la Chambre de céans développée dans son arrêt du 4 juillet 2019 (n o 539). On rappellera à nouveau que le comportement gravement menaçant du recourant est rendu suffisamment vraisemblable, notamment par le témoignage de [...], qui a vu le recourant sortir de la chambre, un couteau à la main, après que le ton était monté entre les époux (PV aud. 2 R. 8). En outre, comme cela a été mentionné dans l’arrêt précité, au consid. 3.2, le retrait « spontané » de plainte opéré par C.Q.________ et B.Q.________ n’est nullement déterminant et pourrait même être une démonstration supplémentaire de l’emprise exercée par le recourant sur sa famille. Le grief est donc infondé.</w:t>
      </w:r>
    </w:p>
    <w:p>
      <w:r>
        <w:rPr>
          <w:b/>
        </w:rPr>
        <w:t>E. 4.1</w:t>
      </w:r>
    </w:p>
    <w:p>
      <w:r>
        <w:t>Le recourant prétend que le risque de collusion serait inexistant car l’enquête serait terminée. Aucune mesure d’instruction ne pourrait donc être entravée par sa libération.</w:t>
      </w:r>
    </w:p>
    <w:p>
      <w:r>
        <w:rPr>
          <w:b/>
        </w:rPr>
        <w:t>E. 4.2</w:t>
      </w:r>
    </w:p>
    <w:p>
      <w:r>
        <w:t>Selon l’art. 221 al. 1 let. b CPP, la détention provisoire et la détention pour des motifs de sûreté peuvent être ordonnées lorsque le prévenu est fortement soupçonné d’avoir commis un crime ou un délit et qu’il y a sérieusement lieu de craindre qu’il compromette la recherche de la vérité en exerçant une influence sur des personnes ou en altérant des moyens de preuves. Le placement en détention provisoire peut ainsi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précité consid. 6.2 et 6.4 ; ATF 132 I 21 consid. 3.2 ; TF 1B_50/2019 du 19 février 2019 consid. 2.3 ; TF 1B_339/2019 du 26 juillet 2019 consid. 3.1 ; Schmocker, op. cit., nn. 14 et 15 ad art. 221 CPP).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(ATF 137 IV 122 précité consid. 4.2 ; ATF 132 I 21 consid. 3.2 et les références citées ; TF 1B_208/2019 du 29 mai 2019 consid. 4.1). A cet égard, plus l'instruction se trouve à un stade avancé et les faits sont établis avec précision, plus les exigences relatives à la preuve de l'existence d'un risque de collusion sont élevées (ATF 137 IV 122 précité ; ATF 132 I 21 précité ; TF 1B_208/2019 précité).</w:t>
      </w:r>
    </w:p>
    <w:p>
      <w:r>
        <w:rPr>
          <w:b/>
        </w:rPr>
        <w:t>E. 4.3</w:t>
      </w:r>
    </w:p>
    <w:p>
      <w:r>
        <w:t>En l’occurrence, s’il est vrai que, hormis l’expertise psychiatrique qui doit être rendue le 31 octobre 2019, l’enquête paraît terminée, cela ne signifie pas pour autant que le risque de collusion a disparu. En effet, il existe un danger concret et sérieux que le recourant essaie d’influencer le témoin, ainsi que son épouse et son fils, comme il a déjà essayé de le faire. Comme déjà mentionné dans l’arrêt de la Chambre de céans du 4 juillet 2019 (consid. 3.2), il ressort de la traduction d’une conversation téléphonique enregistrée le 18 mai 2019 (P. 28) que A.Q.________ a notamment reproché à son épouse d’avoir parlé de leur situation à des tiers et que ce serait pour cette raison qu’il se trouvait en prison ; il l’a également invitée à écrire une lettre au juge au nom du témoin [...], afin de s’excuser des propos qu’elle a tenus et de demander la libération du prévenu pour le bien de la famille. Par ailleurs, lors d’une conversation téléphonique avec son épouse et son fils du 21 septembre 2019, le recourant a manifestement essayé d’influencer son fils pour le faire se rétracter (cf. P. 59). Certes, le recourant fait plaider qu’il ne voudrait pas que son fils revienne sur ses déclarations et indique qu’il souhaiterait seulement comprendre les raisons du dépôt de sa plainte, « dans la mesure où il ne partage pas la même vision » que celui-ci. Cette interprétation ne trouve pourtant pas appui dans la conversation en question, durant laquelle le recourant a insisté auprès de son fils, ainsi que son épouse, en déclarant à plusieurs reprises qu’il n’avait jamais proféré les propos menaçants qui lui sont tenus. De plus, l’épouse du recourant l’a enjoint à ne plus parler à leur fils de la présente affaire, celui-ci se sentant coupable de la situation, ce qui le ferait souffrir. Il apparaît ainsi que le recourant a manifestement tenté d’influencer les déclarations des membres de sa famille. Force est donc de constater qu’il existe toujours un risque de collusion sérieux et concret.</w:t>
      </w:r>
    </w:p>
    <w:p>
      <w:r>
        <w:rPr>
          <w:b/>
        </w:rPr>
        <w:t>E. 5.1</w:t>
      </w:r>
    </w:p>
    <w:p>
      <w:r>
        <w:t>Le recourant prétend que le risque de réitération et de passage à l’acte seraient inexistants, au motif qu’il n’aurait jamais été condamné pour des actes violents similaires. Il soutient que le TMC renvoie simplement à ses précédentes ordonnances, ce qui serait insuffisant puisque selon lui, les circonstances concrètes du cas d’espèce auraient changé depuis le 22 mars 2019.</w:t>
      </w:r>
    </w:p>
    <w:p>
      <w:r>
        <w:rPr>
          <w:b/>
        </w:rPr>
        <w:t>E. 5.2.1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Bien qu'une application littérale de l'art. 221 al. 1 let. c CPP suppose en premier lieu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1B_133/2011 du 12 avril 2011 consid. 4.7). Un risque de réitération peut se fonder sur les infractions faisant l'objet de la procédure pénale en cours, si le prévenu est fortement soupçonné – avec une probabilité confinant à la certitude – de les avoir commises (ATF 137 IV 84 consid. 3.2, JdT 2011 IV 325; TF 1B_217/2016 précité consid. 4.1 in fine ; TF 1B_731/2011 du 16 janvier 2012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références citées).</w:t>
      </w:r>
    </w:p>
    <w:p>
      <w:r>
        <w:rPr>
          <w:b/>
        </w:rPr>
        <w:t>E. 5.2.2</w:t>
      </w:r>
    </w:p>
    <w:p>
      <w:r>
        <w:t>L'art. 221 al. 2 CPP permet d'ordonner la détention lorsqu'il y a lieu de craindre un passage à l'acte, même en l'absence de toute infraction préalable. Il doit s'agir d'un crime grave et non seulement d'un délit (ATF 137 IV 122 consid. 5, JdT 2012 IV 79).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 ATF 137 IV 122 consid. 5). Plus l'infraction redoutée est grave, plus la mise en détention se justifie lorsque les éléments disponibles ne permettent pas une évaluation précise de ce risque (ATF 140 IV 19 consid. 2.1.1 ; TF 6B_446/2015 du 19 janvier 2016 consid. 2.1 ; CREP 17 novembre 2015/743).</w:t>
      </w:r>
    </w:p>
    <w:p>
      <w:r>
        <w:rPr>
          <w:b/>
        </w:rPr>
        <w:t>E. 5.3</w:t>
      </w:r>
    </w:p>
    <w:p>
      <w:r>
        <w:t>En l’espèce, s’il est vrai que le recourant ne s’en est jamais pris physiquement à ses enfants, il n’empêche qu’une procédure a été ouverte en 2016 contre lui pour des violences conjugales, l’enquête ayant été classée en raison de l’absence de volonté de son épouse de reprendre la procédure après une suspension, et non parce que les faits alors reprochés à A.Q.________ n’étaient pas établis. Par ailleurs, les actes en cause – dont la réalité est partiellement établie par témoin – sont très graves, puisqu’il aurait menacé de s’en prendre au bien juridique le plus précieux. Comme déjà mentionné dans l’arrêt rendu par la Chambre de céans le 4 juillet 2019, les menaces du recourant de tuer les siens, proférées à plusieurs reprises, notamment un couteau à la main, permettent à l’évidence de retenir à tout le moins un risque concret de passage à l’acte, même en l’absence de condamnation antérieure pour des faits de même nature. A ce stade, le rapport d’expertise n’a pas été déposé. Les conclusions orales font toutefois état d’un risque de récidive qualifié de moyen, ce qui reste préoccupant à ce stade (procès-verbal des opérations, 17 octobre 2019, p. 15). Dans ces conditions, il faut admettre qu’il existe encore un risque de réitération et de passage à l’acte. Cette appréciation pourra être revue lorsque le rapport d’expertise aura été déposé, au vu des conclusions définitives de celui-ci.</w:t>
      </w:r>
    </w:p>
    <w:p>
      <w:r>
        <w:rPr>
          <w:b/>
        </w:rPr>
        <w:t>E. 6.1</w:t>
      </w:r>
    </w:p>
    <w:p>
      <w:r>
        <w:t>Le recourant soutient que l’ordonnance du TMC ne tiendrait pas compte de ses arguments et n’aurait absolument pas été motivée en ce qui concerne la violation du principe de proportionnalité, ce qui constituerait une violation crasse de son droit d’être entendu.</w:t>
      </w:r>
    </w:p>
    <w:p>
      <w:r>
        <w:rPr>
          <w:b/>
        </w:rPr>
        <w:t>E. 6.2</w:t>
      </w:r>
    </w:p>
    <w:p>
      <w:r>
        <w:t>Le droit d'être entendu, garanti par les art. 3 al. 2 let. c CPP, 29 al. 2 Cst. (Constitution fédérale de la Confédération suisse du 18 avril 1999 ; RS 101) et 6 par. 1 CEDH (Convention de sauvegarde des droits de l’homme et des libertés fondamentales du 4 novembre 1950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du Code de procédure pénale, 2 e éd., Bâle 2016, nn. 6 ss ad art. 80 CPP). Le droit d'être entendu est une garantie constitutionnelle de caractère formel, dont la violation doit entraîner l'annulation de la décision, indépendamment des chances de succès du recours sur le fond (ATF 135 I 187 consid. 2.2). En principe, le défaut de motivation conduit à l'annulation de l'ordonnance et au renvoi du dossier à l'autorité saisie de la cause pour nouvelle décision (cf. CREP 28 septembre 2017/662).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 La motivation peut être implicite et résulter des différents considérants de la décision (ATF 141 V 557 consid. 3.2.1 et les références citées ; CREP du 27 mai 2019/425). En matière de détention provisoire, le renvoi à une précédente motivation est admissible et ne constitue pas une violation du droit d'être entendu, en l'absence de circonstance justifiant une nouvelle appréciation de la situation (TF 1B_149/2010 du 1 er juin 2010 consid. 1.3 et les références citées ; CREP 27 mars 2019/243 consid. 4.2.1 ; CREP 23 août 2018/645 consid. 3.3 ; CREP 20 mai 2017/185 consid. 2.3 et CREP 17 mai 2016/320 consid. 2.2.3).</w:t>
      </w:r>
    </w:p>
    <w:p>
      <w:r>
        <w:rPr>
          <w:b/>
        </w:rPr>
        <w:t>E. 6.3</w:t>
      </w:r>
    </w:p>
    <w:p>
      <w:r>
        <w:t>En l’espèce, la motivation de l’ordonnance du TMC ne prête pas le flanc à la critique, dès lors qu’elle est suffisante pour comprendre ce qui a guidé cette autorité dans sa décision. Au surplus, le recourant ne précise pas quel argument pertinent invoqué dans ses déterminations n’aurait pas été traité par le TMC. Le moyen est donc infondé.</w:t>
      </w:r>
    </w:p>
    <w:p>
      <w:r>
        <w:rPr>
          <w:b/>
        </w:rPr>
        <w:t>E. 7.1</w:t>
      </w:r>
    </w:p>
    <w:p>
      <w:r>
        <w:t>Le recourant invoque une violation du principe de la proportionnalité, soutenant que la nouvelle prolongation de la détention provisoire l’amènerait à être détenu durant une période plus longue que la peine à laquelle il s’expose. Il soutient qu’une peine privative de liberté ferme de 10 mois pour des menaces qualifiées n’est pas probable. Le recourant propose implicitement une mesure de substitution à la détention, se déclarant prêt à entamer une thérapie familiale avec son épouse et ses enfants par le biais d’un suivi au Centre de prévention de l’Ale. Il indique également vouloir regagner le domicile familial et aider sa famille, dont il serait le seul soutien.</w:t>
      </w:r>
    </w:p>
    <w:p>
      <w:r>
        <w:rPr>
          <w:b/>
        </w:rPr>
        <w:t>E. 7.2.1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op. cit., n. 2 ad art. 237 CPP).</w:t>
      </w:r>
    </w:p>
    <w:p>
      <w:r>
        <w:rPr>
          <w:b/>
        </w:rPr>
        <w:t>E. 7.2.2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 ATF 139 IV 270 précité).</w:t>
      </w:r>
    </w:p>
    <w:p>
      <w:r>
        <w:rPr>
          <w:b/>
        </w:rPr>
        <w:t>E. 7.3</w:t>
      </w:r>
    </w:p>
    <w:p>
      <w:r>
        <w:t>En l’espèce, on ne saurait prononcer une mesure de substitution à la détention avant que le rapport d’expertise ne soit rendu, dès lors que l’on ignore si le recourant souffre d’un trouble mental et le degré du risque de réitération évalué par les experts. Ainsi, en l’état, il n’apparaît pas que la mesure proposée, soit un suivi psychothérapeutique, soit suffisant pour pallier le risque de réitération et de passage à l’acte retenu. De toute manière, une telle mesure de substitution ne serait pas à même d’exclure le risque de collusion, puisque le prévenu cohabiterait avec les membres de la famille qu’il pourrait alors sans autre influencer. En l’état, on ne voit pas d’autres mesures de substitution susceptibles de pallier efficacement les risques retenus. S’agissant de la durée de la détention provisoire, au terme de la prolongation ordonnée par le TMC, le recourant aura été incarcéré durant dix mois, ce qui ne saurait être considéré comme une durée excessive au vu de la gravité des faits qui lui sont reprochés, soit trois menaces de mort proférées à des moments différents, dont à une reprise avec un couteau. Ainsi, la peine prévisible pourrait encore être supérieure à la détention provisoire ordonnée. Au surplus, le fait que le recourant serait susceptible de voir cette peine assortie du sursis n’est pas déterminant pour le juge de la détention provisoire.</w:t>
      </w:r>
    </w:p>
    <w:p>
      <w:r>
        <w:rPr>
          <w:b/>
        </w:rPr>
        <w:t>E. 8</w:t>
      </w:r>
    </w:p>
    <w:p>
      <w:r>
        <w:t>Il résulte de ce qui précède que le recours, manifestement mal fondé, doit être rejeté sans échange d’écritures (art. 390 al. 2 CPP) et l’ordonnance attaquée confirmée. Les frais de la procédure de recours, constitués en l’espèce de l’émolument d’arrêt, par 1’650 fr. (art. 20 al. 1 TFIP [tarif des frais de procédure et indemnités en matière pénale du 28 septembre 2010 ; BLV 312.03.1]), et des frais imputables à la défense d’office (art. 422 al. 1 et 2 let. a CPP), fixés à 540 fr., auxquels il convient d’ajouter des débours forfaitaires à concurrence de 2%, par 10 fr. 80, plus la TVA, par 42 fr. 40, soit à 593 fr. 20 au total,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16 octobre 2019 est confirmée. III. L’indemnité allouée à Me Basile Casoni, défenseur d’office de A.Q.________, est fixée à 593 fr. 20 (cinq cent nonante-trois francs et vingt centimes). IV. Les frais d’arrêt, par 1’650 fr. (mille six cent cinquante francs), ainsi que l’indemnité due au défenseur d’office de A.Q.________, par 593 fr. 20 (cinq cent nonante-trois francs et vingt centimes), sont mis à la charge de ce dernier. V. Le remboursement à l’Etat de l’indemnité allouée au chiffre III ci-dessus ne sera exigible que pour autant que la situation financière de A.Q.________ le permette. VI. L’arrêt est exécutoire. Le président :               La greffière : Du Le présent arrêt, dont la rédaction a été approuvée à huis clos, est notifié, par l'envoi d'une copie complète, à : - Me Basile Casoni, avocat (pour A.Q.________), - Ministère public central, et communiqué à : - Mme la Présidente du Tribunal des mesures de contrainte, - Mme la Procureure de l’arrondissement de La Côte, - Me Daniel Trajilovic, avocat (pour C.Q.________),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