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869 vom 2. Oktober 2019</w:t>
      </w:r>
    </w:p>
    <w:p>
      <w:r>
        <w:t>VD Tribunal cantonal, 2019-10-02, FR</w:t>
      </w:r>
    </w:p>
    <w:p>
      <w:r>
        <w:rPr>
          <w:b/>
        </w:rPr>
        <w:t xml:space="preserve">Quelle: </w:t>
      </w:r>
      <w:r>
        <w:t>https://mcp.opencaselaw.ch/entscheid/vd_findinfo_D_cision___2019___869</w:t>
      </w:r>
    </w:p>
    <w:p>
      <w:r>
        <w:t>FR: VD_FINDINFO Décision / 2019 / 869 du 2 octobre 2019</w:t>
      </w:r>
    </w:p>
    <w:p>
      <w:r>
        <w:t>IT: VD_FINDINFO Décision / 2019 / 869 del 2 ottobre 2019</w:t>
      </w:r>
    </w:p>
    <w:p>
      <w:pPr>
        <w:pStyle w:val="Heading2"/>
      </w:pPr>
      <w:r>
        <w:t>Regeste</w:t>
      </w:r>
    </w:p>
    <w:p>
      <w:r>
        <w:t>DEMANDE ADRESSÉE À L'AUTORITÉ, RÉCUSATION, REJET DE LA DEMANDE, VIOLATION D'UNE OBLIGATION D'ENTRETIEN, IN DUBIO PRO DURIORE | 56 CPP (CH)</w:t>
      </w:r>
    </w:p>
    <w:p>
      <w:pPr>
        <w:pStyle w:val="Heading2"/>
      </w:pPr>
      <w:r>
        <w:t>Erwägungen</w:t>
      </w:r>
    </w:p>
    <w:p>
      <w:r>
        <w:rPr>
          <w:b/>
        </w:rPr>
        <w:t>E. 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(art. 13 al. 1 LVCPP [Loi d’introduction du Code de procédure pénale suisse du 19 mai 2009 ; BLV 312.01]) est compétente pour statuer sur la demande de récusation présentée par A.P.________, dans la mesure où celle-ci est dirigée contre un membre du ministère public.</w:t>
      </w:r>
    </w:p>
    <w:p>
      <w:r>
        <w:rPr>
          <w:b/>
        </w:rPr>
        <w:t>E. 2.1</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3.2.1, JdT 2016 IV 247 ; ATF 138 IV 142 consid. 2.1).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 ATF 138 IV 142 consid. 2.3). De même, la garantie d’un juge impartial ne commande pas la récusation d’un juge au simple motif qu’il a, dans une procédure antérieure – voire dans la même affaire –, tranché en défaveur du requérant (ATF 143 IV 69 consid. 3.1).</w:t>
      </w:r>
    </w:p>
    <w:p>
      <w:r>
        <w:rPr>
          <w:b/>
        </w:rPr>
        <w:t>E. 2.2</w:t>
      </w:r>
    </w:p>
    <w:p>
      <w:r>
        <w:t>Selon la Directive no 1.5 (ch. 5, p. 9) du Procureur général, dont la dernière modification date du 5 août 2019, la peine relative à l’infraction de violation d’une obligation d’entretien est fixée exclusivement en fonction de la durée pendant laquelle la pension n’a pas été versée, sans égard au montant total des pensions litigieuses sur le plan pénal. L’accusation est en principe engagée devant le Tribunal de police si le prévenu a plus de deux ans de pension impayée.</w:t>
      </w:r>
    </w:p>
    <w:p>
      <w:r>
        <w:rPr>
          <w:b/>
        </w:rPr>
        <w:t>E. 2.3</w:t>
      </w:r>
    </w:p>
    <w:p>
      <w:r>
        <w:t>Selon l'art. 217 CP (Code pénal suisse du 21 décembre 1937; RS 311.0), se rend coupable d'une violation d'une obligation d'entretien, celui qui n'aura pas fourni les aliments ou les subsides qu'il doit en vertu du droit de la famille, quoi qu'il en eût les moyens ou pût les avoir.</w:t>
      </w:r>
    </w:p>
    <w:p>
      <w:r>
        <w:rPr>
          <w:b/>
        </w:rPr>
        <w:t>E. 2.4</w:t>
      </w:r>
    </w:p>
    <w:p>
      <w:r>
        <w:t>En l’occurrence, les autorités judiciaires russes ont reconnu A.P.________ comme étant le père de l’enfant [...]. Elles ont également fixé la contribution d’entretien due en faveur du fils par son père à un sixième des revenus de ce dernier dès le 3 novembre 2003 et jusqu’à la majorité de l’enfant. Selon les pièces au dossier, il apparaît qu’A.P.________ n’aurait que très partiellement payé les contributions d’entretien auxquelles il est astreint. Il refuse de donner des informations sur ses revenus et sa situation financière actuelle. Il tente enfin de justifier son comportement en plaidant que l’enfant n’est pas de lui, tout en refusant de se soumettre à un test ADN. Au vu des éléments qui précèdent, particulièrement l’absence totale de collaboration de A.P.________, la Procureure ne peut qu’envisager un renvoi en jugement devant un Tribunal, en vertu du principe in dubio pro duriore . L’annoncer de manière transparente au prévenu et à son avocat constitue un acte conforme au principe de la bonne foi (art. 3 al. 2 let. a CPP). On rappellera également que le chiffre 5 de la Directive no 1.5 du Procureur général sur « la fixation des peines et harmonisation des sanctions » (cf. consid. 2.2 supra), va dans le même sens puisqu’il dispose que « l’accusation est en principe engagée devant le Tribunal de police si le prévenu a plus de deux ans de pension impayée », ce qui pourrait être le cas en l’espèce dès lors que l’instruction porte sur une période allant du 3 novembre 2003 au 5 mars 2019. En définitive, A.P.________ n’expose aucun motif de récusation valable au sens de l’art. 56 CPP et on ne discerne dans le comportement de la Procureure aucun élément concret donnant lieu à une apparence de prévention.</w:t>
      </w:r>
    </w:p>
    <w:p>
      <w:r>
        <w:rPr>
          <w:b/>
        </w:rPr>
        <w:t>E. 3</w:t>
      </w:r>
    </w:p>
    <w:p>
      <w:r>
        <w:t>Il s’ensuit que la demande de récusation déposée par A.P.________ doit être rejetée. Les frais de la présente procédure, constitués du seul émolument de décision (art. 422 al. 1 CPP), par 660 fr. (art. 20 al. 1 TFIP [tarif des frais de procédure et indemnités en matière pénale du 28 septembre 2010 ; BLV 312.03.1]), seront mis à la charge du demandeur, conformément à l'art. 59 al. 4 CPP. Par ces motifs, la Chambre des recours pénale prononce : I. La demande de récusation à l’encontre de la Procureure Laurence Boillat est rejetée. II. Les frais de décision, par 660 fr. (six cent soixante francs), sont mis à la charge de A.P.________. III. La décision est exécutoire. Le président :               La greffière : Du La présente décision, dont la rédaction a été approuvée à huis clos, est notifiée, par l'envoi d'une copie complète, à : - Me Elizaveta Rochat, avocate (pour A.P.________), - Ministère public central, et communiquée à : ‑ Mme la Procureure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