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864 vom 24. Oktober 2019</w:t>
      </w:r>
    </w:p>
    <w:p>
      <w:r>
        <w:t>VD Tribunal cantonal, 2019-10-24, FR</w:t>
      </w:r>
    </w:p>
    <w:p>
      <w:r>
        <w:rPr>
          <w:b/>
        </w:rPr>
        <w:t xml:space="preserve">Quelle: </w:t>
      </w:r>
      <w:r>
        <w:t>https://mcp.opencaselaw.ch/entscheid/vd_findinfo_D_cision___2019___864</w:t>
      </w:r>
    </w:p>
    <w:p>
      <w:r>
        <w:t>FR: VD_FINDINFO Décision / 2019 / 864 du 24 octobre 2019</w:t>
      </w:r>
    </w:p>
    <w:p>
      <w:r>
        <w:t>IT: VD_FINDINFO Décision / 2019 / 864 del 24 ottobre 2019</w:t>
      </w:r>
    </w:p>
    <w:p>
      <w:pPr>
        <w:pStyle w:val="Heading2"/>
      </w:pPr>
      <w:r>
        <w:t>Regeste</w:t>
      </w:r>
    </w:p>
    <w:p>
      <w:r>
        <w:t>DÉFENSE D'OFFICE, DROIT À UN DÉFENSEUR, FIXATION DE LA PEINE, PEINE PRIVATIVE DE LIBERTÉ, ADMISSION DE LA DEMANDE | 187 ch. 1 CP, 194 CP, 132 CPP (CH)</w:t>
      </w:r>
    </w:p>
    <w:p>
      <w:pPr>
        <w:pStyle w:val="Heading2"/>
      </w:pPr>
      <w:r>
        <w:t>Erwägungen</w:t>
      </w:r>
    </w:p>
    <w:p>
      <w:r>
        <w:rPr>
          <w:b/>
        </w:rPr>
        <w:t>E. 1</w:t>
      </w:r>
    </w:p>
    <w:p>
      <w:r>
        <w:t>Interjeté dans le délai légal (art. 396 al. 1 CPP [Code de procédure pénale suisse du 5 octobre 2007; RS 312.0]) contre une décision du tribunal de première instance refusant au prévenu la désignation d'un défenseur d'office (art. 393 al. 1 let. b CPP), par une partie qui a qualité pour recourir (art. 382 al. 1 CPP) et dans les formes prescrites (art. 385 al. 1 CPP), le recours formé par W.________ est recevable.</w:t>
      </w:r>
    </w:p>
    <w:p>
      <w:r>
        <w:rPr>
          <w:b/>
        </w:rPr>
        <w:t>E. 2.1</w:t>
      </w:r>
    </w:p>
    <w:p>
      <w:r>
        <w:t>Le recourant soutient qu’il devrait se défendre contre un procureur qui abuserait de son autorité et aurait déformé ses déclarations. Celui-ci chercherait coûte que coûte à le faire condamner pour exhibitionnisme, alors même qu’aucune plainte n’a été déposée. Il fait valoir que la condamnation requise, soit 4 mois de peine privative de liberté, constituerait une grave atteinte à sa liberté et sollicite qu’un défenseur d’office lui soit désigné.</w:t>
      </w:r>
    </w:p>
    <w:p>
      <w:r>
        <w:rPr>
          <w:b/>
        </w:rPr>
        <w:t>E. 2.2.1</w:t>
      </w:r>
    </w:p>
    <w:p>
      <w:r>
        <w:t>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(CREP 10 août 2018/604 consid. 2.2.1 et les références citées).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citées; TF 1B_210/2019 du 29 juillet 2019 consid. 2.1). En revanche, dans les « cas bagatelle » – soit, selon le Tribunal fédéral, ceux dans lesquels il ne risque qu'une peine de courte durée ou une amende –, le prévenu n'a pas, même s'il est indigent, de droit constitutionnel à la désignation d'un défenseur d'office gratuit (ATF 143 I 164 consid. 3.5).</w:t>
      </w:r>
    </w:p>
    <w:p>
      <w:r>
        <w:rPr>
          <w:b/>
        </w:rPr>
        <w:t>E. 2.2.2</w:t>
      </w:r>
    </w:p>
    <w:p>
      <w:r>
        <w:t>Selon l’art. 194 al. 1 CP, celui qui se sera exhibé sera, sur plainte, puni d'une peine pécuniaire. Cette disposition réprime l’exhibitionnisme, soit une forme particulière d’acte d’ordre sexuel par lequel l’auteur fait consciemment étalage de ses organes génitaux devant un tiers qui ne l’a pas sollicité, à des fins d'excitation ou de satisfaction sexuelle. Elle suppose que la victime voie effectivement le sexe nu (TF 6B_1037/2016 du 19 avril 2017 consid. 1.1 ; TF 6B_527/2009 du 3 septembre 2009 consid. 3.1).</w:t>
      </w:r>
    </w:p>
    <w:p>
      <w:r>
        <w:rPr>
          <w:b/>
        </w:rPr>
        <w:t>E. 2.2.3</w:t>
      </w:r>
    </w:p>
    <w:p>
      <w:r>
        <w:t>Aux termes de l'art. 187 ch. 1 CP, celui qui aura commis un acte d'ordre sexuel sur un enfant de moins de seize ans (al. 1), celui qui aura entraîné un enfant de cet âge à commettre un acte d'ordre sexuel (al. 2) ou celui qui aura mêlé un enfant de cet âge à un acte d'ordre sexuel (al. 3) sera puni d’une peine privative de liberté de cinq ans au plus ou d’une peine pécuniaire. Il y a tentative si l'exécution d'un crime ou d'un délit n'est pas poursuivie jusqu'à son terme ou que le résultat nécessaire à la consommation de l'infraction ne se produit pas ou ne pouvait pas se produire (art. 22 CP).</w:t>
      </w:r>
    </w:p>
    <w:p>
      <w:r>
        <w:rPr>
          <w:b/>
        </w:rPr>
        <w:t>E. 2.3</w:t>
      </w:r>
    </w:p>
    <w:p>
      <w:r>
        <w:t>En l’espèce, aucune plainte n’ayant été déposée, l’infraction de l’art. 194 CP n’entre pas en considération. Ainsi, le prévenu encourt une condamnation pour tentative d’actes d’ordre sexuel avec des enfants, infraction retenue par le procureur dans son ordonnance pénale valant acte d’accusation. En l’occurrence, rien ne permet d’admettre que le Tribunal de police se limite à une peine privative de liberté de 4 mois, quand bien même le Ministère public a requis une telle peine dans son acte d’accusation. Certes, au vu des antécédents du recourant lors desquels il a bénéficié à deux reprises d’une atténuation de peine, il est envisageable qu’une responsabilité restreinte du prévenu soit retenue. En dépit de cette éventualité et compte tenu de ses nombreuses condamnations antérieures pour des infractions d’ordre sexuel, le recourant risque concrètement une peine privative de liberté supérieure à 4 mois. En outre, le prononcé d’une mesure ne peut pas être exclu dans ce contexte. Partant, il ne s’agit pas d’un cas de peu de gravité telle que défini par la jurisprudence, de sorte que le recourant a droit à un défenseur d’office.</w:t>
      </w:r>
    </w:p>
    <w:p>
      <w:r>
        <w:rPr>
          <w:b/>
        </w:rPr>
        <w:t>E. 3</w:t>
      </w:r>
    </w:p>
    <w:p>
      <w:r>
        <w:t>Il s’ensuit que le recours doit être admis et le prononcé attaqué réformé en ce sens que la requête de désignation d’un défenseur d’office présentée par W.________ doit être admise. La Présidente du Tribunal de police sera ainsi invitée à désigner un défenseur d’office au recourant dans le cadre de la présente procédure pénale. Les frais de la procédure de recours, constitués du seul émolument d’arrêt, par 770 fr., seront laissés à la charge de l’Etat (art. 428 al. 1 CPP). Par ces motifs, la Chambre des recours pénale prononce : I. Le recours est admis. II. Le prononcé du 26 septembre 2019 est réformé en ce sens que la requête de désignation d’un défenseur d’office présentée par W.________ est admise. III. Le dossier de la cause est retourné à la présidente du Tribunal de police de l’arrondissement de l’Est vaudois afin qu’elle désigne un défenseur d’office à W.________ dans le cadre de la procédure pénale PE19.007593. IV. Les frais d’arrêt, par 770 fr. (sept cent septante francs), sont laissés à la charge de l’Etat. V. L’arrêt est exécutoire. Le vice-président : La greffière : Du Le présent arrêt, dont la rédaction a été approuvée à huis clos, est notifié, par l'envoi d'une copie complète, à : - M. W.________,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