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858 vom 3. Oktober 2019</w:t>
      </w:r>
    </w:p>
    <w:p>
      <w:r>
        <w:t>VD Tribunal cantonal, 2019-10-03, FR</w:t>
      </w:r>
    </w:p>
    <w:p>
      <w:r>
        <w:rPr>
          <w:b/>
        </w:rPr>
        <w:t xml:space="preserve">Quelle: </w:t>
      </w:r>
      <w:r>
        <w:t>https://mcp.opencaselaw.ch/entscheid/vd_findinfo_D_cision___2019___858</w:t>
      </w:r>
    </w:p>
    <w:p>
      <w:r>
        <w:t>FR: VD_FINDINFO Décision / 2019 / 858 du 3 octobre 2019</w:t>
      </w:r>
    </w:p>
    <w:p>
      <w:r>
        <w:t>IT: VD_FINDINFO Décision / 2019 / 858 del 3 ottobre 2019</w:t>
      </w:r>
    </w:p>
    <w:p>
      <w:pPr>
        <w:pStyle w:val="Heading2"/>
      </w:pPr>
      <w:r>
        <w:t>Regeste</w:t>
      </w:r>
    </w:p>
    <w:p>
      <w:r>
        <w:t>FRAIS JUDICIAIRES, CLASSEMENT DE LA PROCÉDURE, INDEMNITÉ POUR DÉTENTION, DÉTENTION ILLICITE | 319 CPP (CH), 426 al. 2 CPP (CH), 429 CPP (CH), 430 CPP (CH), 431 CPP (CH)</w:t>
      </w:r>
    </w:p>
    <w:p>
      <w:pPr>
        <w:pStyle w:val="Heading2"/>
      </w:pPr>
      <w:r>
        <w:t>Erwägungen</w:t>
      </w:r>
    </w:p>
    <w:p>
      <w:r>
        <w:rPr>
          <w:b/>
        </w:rPr>
        <w:t>E. 1</w:t>
      </w:r>
    </w:p>
    <w:p>
      <w:r>
        <w:t>CPP) et dans les formes prescrites (art. 385 al. 1 CPP), le recours de C.________ est recevable.</w:t>
      </w:r>
    </w:p>
    <w:p>
      <w:r>
        <w:rPr>
          <w:b/>
        </w:rPr>
        <w:t>E. 1.1</w:t>
      </w:r>
    </w:p>
    <w:p>
      <w:r>
        <w:t>Interjeté dans le délai légal (art. 322 al. 2 et 396 al. 1 CPP), contre une ordonnance de classement partiel rendue par le Ministère public (art. 393 al. 1 let. a CPP), par le prévenu qui a qualité pour recourir (art. 382 al.</w:t>
      </w:r>
    </w:p>
    <w:p>
      <w:r>
        <w:rPr>
          <w:b/>
        </w:rPr>
        <w:t>E. 1.2</w:t>
      </w:r>
    </w:p>
    <w:p>
      <w:r>
        <w:t>Le recourant ne conteste pas le classement partiel en lui-même, mais uniquement la mise à sa charge des frais de procédure, par 3'968 fr. 85, le refus d’une indemnité au sens de l’art. 429 CPP dont il réclame le paiement à hauteur de 4'000 francs. Supérieure en l'espèce à 5'000 fr., la valeur litigieuse place le recours dans la compétence de la Chambre des recours pénale in corpore (art. 395 let. b CPP, a contrario ).</w:t>
      </w:r>
    </w:p>
    <w:p>
      <w:r>
        <w:rPr>
          <w:b/>
        </w:rPr>
        <w:t>E. 2</w:t>
      </w:r>
    </w:p>
    <w:p>
      <w:r>
        <w:t>CPP, une indemnité est en règle générale exclue (ATF 137 IV 352 consid. 2.4.2 p. 357; TF 6B_398/2019 du 19 juillet 2019 consid. 5.6 et les réf. cit.). La question de l'indemnisation doit être traitée après celle des frais (TF 6B_666/2019 du 4 septembre 2019 consid. 2.1; TF 6B_565/2019 du 12 juin 2019 consid. 5.1; TF 6B_373/2019 du 4 juin 2019 consid. 1.2). Dans cette mesure, la décision sur les frais préjuge de la question de l'indemnisation (ATF 144 IV 207 consid. 1.8.2 p. 211).</w:t>
      </w:r>
    </w:p>
    <w:p>
      <w:r>
        <w:rPr>
          <w:b/>
        </w:rPr>
        <w:t>E. 2.1</w:t>
      </w:r>
    </w:p>
    <w:p>
      <w:r>
        <w:t>Le recourant soutient que c'est à tort que le Ministère public a retenu qu'il avait adopté un comportement qui risquait de provoquer l'ouverture d'une enquête, en ce sens qu'il avait fui à la vue de la police et avait adopté un comportement oppositionnel. Il expose que l'instruction n'aurait pas permis d'établir son implication dans la tentative de vol. Il reproche à la Procureure de ne pas avoir indiqué la norme de comportement qui aurait été violée, en relation de causalité avec l'ouverture de la procédure. Il conteste aussi le raisonnement du Ministère public au sujet de ce comportement et le fait qu'il pouvait prétendument conforter les autorités pénales dans l'idée que les deux occupants du véhicule avaient commis des infractions en Suisse, ou laissait à tout le moins penser qu'ils en avaient l'intention.</w:t>
      </w:r>
    </w:p>
    <w:p>
      <w:r>
        <w:rPr>
          <w:b/>
        </w:rPr>
        <w:t>E. 2.2.1</w:t>
      </w:r>
    </w:p>
    <w:p>
      <w:r>
        <w:t>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(Constitution fédérale de la Confédération suisse du 18 avril 1999; RS 101)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contraire à une règle juridique et fautif,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RS 220). Le fait reproché doit constituer une violation claire de la norme de comportement (ATF 119 Ia 332 consid. 1b p. 334; TF 6B_156/2017 du 22 décembre 2017 consid. 4.1). Il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(ATF 116 Ia 162 consid. 2c p. 170; TF 6B_803/2016 du 20 juillet 2017 consid. 3.1.1; TF 6B_203/2015 du 16 mars 2016 consid. 1.1).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précité consid. 2c p. 171; TF 6B_803/2016 du 20 juillet 2017 consid. 3.1.1; TF 6B_203/2015 du 16 mars 2016 consid. 1.1). La mise des frais à la charge du prévenu en cas d'acquittement ou de classement de la procédure doit en effet rester l'exception (ATF 144 IV 202 consid. 2.2 p. 204 s. et les réf. cit.; TF 6B_1011/2018 du 11 décembre 2018 consid. 1.1).</w:t>
      </w:r>
    </w:p>
    <w:p>
      <w:r>
        <w:rPr>
          <w:b/>
        </w:rPr>
        <w:t>E. 2.2.2</w:t>
      </w:r>
    </w:p>
    <w:p>
      <w:r>
        <w:t>A teneur de l'art. 429 al. 1 CPP, si le prévenu est acquitté totalement ou en partie ou s'il bénéficie d'une ordonnance de classement, il a droit à une indemnité pour les dépenses occasionnées par l'exercice raisonnable de ses droits de procédure (let. a), une indemnité pour le dommage économique subi au titre de sa participation obligatoire à la procédure pénale (let. b), une réparation du tort moral subi en raison d'une atteinte particulièrement grave à sa personnalité, notamment en cas de privation de liberté (let. c). L'art. 429 CPP fonde un droit à des dommages et intérêts et à une réparation du tort moral résultant d'une responsabilité causale de l'Etat. La responsabilité est encourue même si aucune faute n'est imputable aux autorités (TF 6B_984/2018 du 4 avril 2019 consid. 5.1; TF 6B_928/2014 du 10 mars 2016 consid. 2 non publié aux ATF 142 IV 163). L'Etat doit réparer la totalité du dommage qui présente un lien de causalité avec la procédure pénale au sens du droit de la responsabilité civile (TF 6B_361/2018 du 15 juin 2018 consid. 4 et les réf. cit.).</w:t>
      </w:r>
    </w:p>
    <w:p>
      <w:r>
        <w:rPr>
          <w:b/>
        </w:rPr>
        <w:t>E. 2.2.3</w:t>
      </w:r>
    </w:p>
    <w:p>
      <w:r>
        <w:t>En vertu de l'art. 430 al. 1 let. a CPP, l'autorité pénale peut réduire ou refuser l'indemnité pour les dépenses occasionnées par l'exercice raisonnable de ses droits de procédure (art. 429 al. 1 let. a CPP) lorsque le prévenu a provoqué illicitement et fautivement l'ouverture de la procédure ou a rendu plus difficile la conduite de celle-ci. Selon la jurisprudence, la question de l'indemnisation du prévenu (art. 429 CPP) doit être traitée en relation avec celle des frais (art. 426 CPP). Si le prévenu supporte les frais en application de l'art. 426 al. 1 ou</w:t>
      </w:r>
    </w:p>
    <w:p>
      <w:r>
        <w:rPr>
          <w:b/>
        </w:rPr>
        <w:t>E. 2.2.4</w:t>
      </w:r>
    </w:p>
    <w:p>
      <w:r>
        <w:t>Aux termes de l'art. 431 al. 2 CPP, 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En d'autres termes, le prévenu doit être indemnisé si la sanction finalement infligée ne peut pas être totalement imputée sur la détention avant jugement effectivement subie (ATF 142 IV 389 consid. 5 p. 399 s.; 141 IV 236 consid. 3.2 p. 238 consid. 3.6 à 3.8 p. 241 ss). L'ampleur de la réparation morale dépend avant tout de la gravité des souffrances physiques ou psychiques consécutives à l'atteinte subie par l'intéressé et de la possibilité d'adoucir sensiblement, par le versement d'une somme d'argent, la douleur morale qui en résulte (ATF 143 IV 339 consid. 3.1 p. 342). Le Tribunal fédéral considère en principe qu'un montant de 200 fr. par jour en cas de détention injustifiée de courte durée constitue une indemnité appropriée, dans la mesure où il n'existe pas de circonstances particulières qui pourraient fonder le versement d'un montant inférieur ou supérieur (ATF 143 IV 339 consid. 3.1 p. 342; TF 6B_984/2018 du 4 avril 2019 consid. 5.1; TF 6B_53/2013 du 8 juillet 2013 consid. 3.2 non publié aux ATF 139 IV 243 et les références citées). Il n'y a en principe pas lieu de prendre en considération les frais d'entretien au domicile de l'ayant droit lors de la fixation de l'indemnité pour tort moral. L'indemnité doit ainsi être fixée sans égard au lieu de vie de l'ayant droit et à ce qu'il va faire de l'argent obtenu (ATF 125 II 554 consid. 4a p. 559; 123 II 10 consid. 4c p. 13; TF 6B_984/2018 du 4 avril 2019 consid. 5.4.1). Toutefois, dans la mesure où le bénéficiaire domicilié à l'étranger serait exagérément avantagé en raison des conditions économiques et sociales existant à son lieu de domicile, il convient d'adapter l'indemnité vers le bas (ATF 125 II 554 consid. 4a p. 559; 123 III 10 consid. 4 p. 11 ss; TF 6B_984/2018 du 4 avril 2019 consid. 5.4.1). Une réduction ne se justifie pas pour un prévenu domicilié en France ou au Portugal (TF 6B_984/2018 du 4 avril 2019 consid. 5.4.1) Ces principes doivent également s'appliquer à l'indemnité pour tort moral définie à l'art. 429 al. 1 let. c CPP (cf. TF 6B_1052/2014 du 22 décembre 2015 consid. 2.4).</w:t>
      </w:r>
    </w:p>
    <w:p>
      <w:r>
        <w:rPr>
          <w:b/>
        </w:rPr>
        <w:t>E. 2.3.1</w:t>
      </w:r>
    </w:p>
    <w:p>
      <w:r>
        <w:t>En l'espèce, le recourant ne saurait être suivi quand il affirme que son comportement serait sans lien avec l'ouverture de la procédure pénale. C'est en effet en premier lieu le fait qu'une patrouille de police a aperçu un véhicule portant des plaques françaises et sortant [...], à quelques dizaines de mètre d'une villa qui venait d'être l'objet d'une tentative de vol, puis a essayé de l'intercepter pour un contrôle, qui est à l'origine des évènements. En effet, dans le but d'intercepter ce véhicule – lequel était conduit par le recourant – les policiers ont enclenché le signal lumineux "stop police", puis les feux bleus sans l'avertisseur à deux tons. Néanmoins, le recourant a continué sa route à une vitesse constante pendant une minute au moins sans faire mine de s'arrêter, et ce n'est qu'après avoir été bloqué par une autre patrouille venue en renfort et deux motards, que le véhicule a stoppé (cf. P. 5, p. 2). Les deux occupants ont immédiatement adopté une attitude oppositionnelle et ergoteuse, et le recourant, agressif, a dû être amené au sol et menotté (ibid. et P. 13, p. 3). Certes, le recourant expose qu'il n'a pas remarqué que la police voulait les contrôler, et conteste avoir pris la fuite, comme cela ressort de l'ordonnance attaquée. Pour la Cour de céans, cette explication ne revêt aucune crédibilité. En effet, dès lors qu'il faisait nuit et qu'à cette heure, soit à environ 0h30, la circulation n'est pas dense, il ne pouvait échapper aux occupants du véhicule qu'une patrouille de police tentait de les intercepter. En outre, au vu de la longueur du trajet entre le chemin [...] et l'intersection des avenues [...], de près de trois kilomètres, et de la durée de la poursuite, d'une minute au moins selon la police (cf. P. 5, p. 2), il est manifeste que le recourant a choisi délibérément de ne pas obtempérer aux ordres de la police. Ce faisant, il a violé l'obligation de se conformer aux signaux et aux ordres de la police, qui est une règle fédérale, dont l'inobservation peut entraîner des sanctions pénales, lesdits ordres pouvant émaner de dispositifs lumineux placés sur un véhicule (art. 27 al. 1 cum 90 LCR [Loi fédérale du 19 décembre 1958 sur la circulation routière; RS 741.01]; Bussy/Rusconi/Jeanneret/ Kuhn/Mizel/Müller, Code suisse de la circulation routière, 4 e éd., Bâle 2015 [ci-après: Bussy/Rusconi], nn. 1.6 et 5.6 ad art. 27 LCR), dont les feux bleus clignotants dont seuls des véhicules homologués peuvent disposer (cf. art. 78 al.3 et 141 al. 2 OETV [Ordonnance concernant les exigences techniques requises pour les véhicules routiers; RSV 741.41]; Bussy/Rusconi, op. cit., n. 2.5 ad 41 LCR sur les feux bleus clignotants). Cette obligation s'impose également aux conducteurs étrangers qui doivent connaître les règles applicables en Suisse (Bussy/Rusconi, op. cit., n. 1.4 ad 27 LCR). Il ressort de ce qui précède que le recourant a bien enfreint une norme de comportement au sens où l'entend la jurisprudence (cf. consid. 2.2.1 supra ). En outre, le recourant ne conteste pas avoir eu ensuite un comportement oppositionnel, admettant s'être "énervé un petit peu" car un policier l'avait palpé et lui avait pris son téléphone (PV aud. 2, R. à D. 6). Dans ces conditions, le Ministère public était parfaitement fondé à ouvrir une enquête contre le recourant et n'a donc pas agi par excès de zèle, ni ensuite d'une mauvaise analyse de la situation ou par précipitation. Il apparaît plutôt que l'intéressé a provoqué l'ouverture de la procédure pénale, le comportement consistant à fuir et à ne pas déférer aux ordres de la police étant bien de nature à laisser penser qu'il avait commis avec son comparse la tentative de vol en cause. Par ailleurs, il faut retenir que l'enquête pour analyser les preuves matérielles et entendre les deux coprévenus a duré un temps minimal, étant souligné que la version du recourant a divergé dans le temps, notamment sur le but de sa visite en Suisse. Il s'ensuit que c'est à bon droit que le Ministère public a mis un tiers des frais de procédure à la charge du recourant et lui a refusé une indemnité au sens de l’art. 429 CPP.</w:t>
      </w:r>
    </w:p>
    <w:p>
      <w:r>
        <w:rPr>
          <w:b/>
        </w:rPr>
        <w:t>E. 2.3.2</w:t>
      </w:r>
    </w:p>
    <w:p>
      <w:r>
        <w:t>Le recourant ne conteste pas que le montant de 50 fr. par jour passé dans des conditions de détention illicites, tel que retenu par le Ministère public conformément à la jurisprudence (cf. TF 6B_17/2014 du 1 er juillet 2014 consid. 2.6.1), soit adéquat. L'indemnité de 900 fr. allouée à l'intéressé par la Procureure pour 18 jours passés en zone carcérale dans des conditions de détention illicites doit dès lors être également confirmée.</w:t>
      </w:r>
    </w:p>
    <w:p>
      <w:r>
        <w:rPr>
          <w:b/>
        </w:rPr>
        <w:t>E. 3</w:t>
      </w:r>
    </w:p>
    <w:p>
      <w:r>
        <w:t>En définitive, le recours, manifestement mal fondé, doit être rejeté sans échange d’écritures (art. 390 al. 2 CPP) et l’ordonnance du 9 mai 2019 confirmée. Les frais de la procédure de recours, constitués en l’espèce de l’émolument d'arrêt, par 1'430 fr. (art. 20 al. 1 TFIP [Tarif des frais de procédure et indemnités en matière pénale du 28 septembre 2010; BLV 312.03.1]), et des frais imputables à la défense d’office (art. 422 al. 1 et 2 let. a CPP), fixés à 360 fr., auxquels il convient d’ajouter des débours forfaitaires à concurrence de 2% (art. 3bis al. 1 RAJ [Règlement sur l'assistance judiciaire en matière civile du 7 décembre 2010; BLV 211.02.3], applicable par renvoi de l’art. 26b TFIP), par 7 fr. 20, plus la TVA par 28 fr. 30, soit à 395 fr. 50 au total, seront mis à la charge de C.________,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9 mai 2019 est confirmée. III. L’indemnité allouée au défenseur d’office de C.________ est fixée à 395 fr. 50 (trois cent nonante-cinq francs et cinquante centimes). IV. Les frais d’arrêt, par 1'430 fr. (mille quatre cent trente francs), ainsi que l’indemnité due au défenseur d’office de C.________, par 395 fr. 50 (trois cent nonante-cinq francs et cinquante centimes), sont mis à la charge de ce dernier. V. Le remboursement à l’Etat de l’indemnité allouée au chiffre III ci-dessus ne sera exigible que pour autant que la situation financière de C.________ le permette. VI. L’arrêt est exécutoire. Le président :               Le greffier : Du Le présent arrêt, dont la rédaction a été approuvée à huis clos, est notifié, par l'envoi d'une copie complète, à : - Me Aurélie Cornamusaz (pour C.________), - Ministère public central, et communiqué à : - M. le Procureur cantonal Strada, - Service de la population,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