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834 vom 28. August 2019</w:t>
      </w:r>
    </w:p>
    <w:p>
      <w:r>
        <w:t>VD Tribunal cantonal, 2019-08-28, FR</w:t>
      </w:r>
    </w:p>
    <w:p>
      <w:r>
        <w:rPr>
          <w:b/>
        </w:rPr>
        <w:t xml:space="preserve">Quelle: </w:t>
      </w:r>
      <w:r>
        <w:t>https://mcp.opencaselaw.ch/entscheid/vd_findinfo_D_cision___2019___834</w:t>
      </w:r>
    </w:p>
    <w:p>
      <w:r>
        <w:t>FR: VD_FINDINFO Décision / 2019 / 834 du 28 août 2019</w:t>
      </w:r>
    </w:p>
    <w:p>
      <w:r>
        <w:t>IT: VD_FINDINFO Décision / 2019 / 834 del 28 agosto 2019</w:t>
      </w:r>
    </w:p>
    <w:p>
      <w:pPr>
        <w:pStyle w:val="Heading2"/>
      </w:pPr>
      <w:r>
        <w:t>Regeste</w:t>
      </w:r>
    </w:p>
    <w:p>
      <w:r>
        <w:t>CLASSEMENT DE LA PROCÉDURE, ADMISSION DE LA DEMANDE, DÉTRIMENT DES CRÉANCIERS, DIMINUTION EFFECTIVE DE L'ACTIF, SUSPENSION DE LA PROCÉDURE, PROCÉDURE CIVILE, CRÉANCE DANS LA FAILLITE | 163 CP, 164 CP, 310 CPP (CH), 314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Interjeté en temps utile auprès de l’autorité compétente, par la partie plaignante qui a qualité pour recourir (art. 382 al. 1 CPP), et satisfaisant aux conditions de forme prescrites (art. 385 al. 1 CPP), le recours est recevable.</w:t>
      </w:r>
    </w:p>
    <w:p>
      <w:r>
        <w:rPr>
          <w:b/>
        </w:rPr>
        <w:t>E. 2.1</w:t>
      </w:r>
    </w:p>
    <w:p>
      <w:r>
        <w:t>La recourante invoque une violation du principe « in dubio pro duriore ». Elle soutient également qu’un classement serait prématuré, la procédure devant la Chambre patrimoniale cantonale étant toujours en cours. Elle requiert ainsi la suspension de la procédure pénale, en application de l’art. 314 CPP.</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(TF 6B_1056/2018 du 29 janvier 2019 consid. 2.2.2 ; 6B_874/2017 du 18 avril 2018 consid. 5.1 ; 6B_1177/2017 du 16 avril 2018 consid. 2.1).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in : Kuhn/Jeanneret [éd.], Commentaire romand, Code de procédure pénale suisse, Bâle 2011, n. 13 ad art. 314 CPP).</w:t>
      </w:r>
    </w:p>
    <w:p>
      <w:r>
        <w:rPr>
          <w:b/>
        </w:rPr>
        <w:t>E. 2.2.3</w:t>
      </w:r>
    </w:p>
    <w:p>
      <w:r>
        <w:t>L'art. 164 ch. 1 CP réprime le comportement du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s'il a été déclaré en faillite ou si un acte de défaut de biens a été dressé contre lui. L'art. 164 ch. 2 CP s'applique au tiers qui, dans les mêmes conditions, se sera livré à ces agissements. L'art. 164 CP réprime tout comportement qui a eu pour effet de diminuer l'actif destiné à désintéresser les créanciers. Le débiteur menacé d'insolvabilité ou de faillite a un devoir de sauvegarder pour ses créanciers le patrimoine qui subsiste (Corboz, Les infractions en droit suisse, vol. I, 3 e éd., Berne 2010, n. 1 et 4 ad art. 163 CP). L'art. 164 CP implique une diminution effective de la valeur économique disponible pour désintéresser les créanciers. Cette disposition envisage en particulier une aliénation sans contrepartie correspondante (Corboz, op. cit., n. 4 et 13 ad art. 164 CP ; Stratenwerth/Jenny/Bommer, Schweizerisches Strafrecht, Bes. Teil I, 7 e éd., 2010, § 23 n. 20). L'art. 164 CP, à l'instar de l'art. 163 CP, constitue une infraction de mise en danger concrète. Il n'est donc pas nécessaire qu'un dommage concret survienne, c'est-à-dire que les créanciers subissent en définitive des pertes (Corboz, op. cit., n. 1 et 6 ad art. 163 CP ; Donatsch, Strafrecht III, 9 e éd., p. 332; Trechsel et al., Schweizerisches Strafgesetzbuch, Praxiskommentar, 2008, n. 8 ad art. 163 CP ; Müller, Distinction entre diminution fictive et diminution effective de l'actif au préjudice des créanciers (art. 163-164 CP), RPS 2008 p. 411 ss spéc. 415/416 ; ATF 107 IV 175, JdT 1983 IV 9). Un préjudice au détriment des créanciers peut déjà résulter des retards ou des difficultés apportées temporairement à l'exécution forcée (ATF 102 IV 172, JdT 1977 IV 136). A teneur de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L'art. 163 CP tend à protéger d'une part, le patrimoine des créanciers et, d'autre part, l'exécution forcée elle-même, en tant que moyen d'assurer le respect des droits de ces derniers (ATF 140 IV 155 consid. 3.3.2 ; ATF 134 III 52 consid. 1.3.1 ; ATF 107 IV 175 consid. 1a). L'objet de l'infraction est l'actif du débiteur, c'est-à-dire l'ensemble des biens du débiteur qui, d'après le droit des poursuites, tombent dans la masse en faillite (cf. ATF 114 IV 11 consid. 1b ; ATF 103 IV 227 consid. 1c).</w:t>
      </w:r>
    </w:p>
    <w:p>
      <w:r>
        <w:rPr>
          <w:b/>
        </w:rPr>
        <w:t>E. 2.3</w:t>
      </w:r>
    </w:p>
    <w:p>
      <w:r>
        <w:t>En l’espèce, s’agissant de la créance 256'724 fr. 55, on ne saurait suivre l’argumentation du Procureur lorsqu’il estime que l’élément constitutif objectif de la diminution effective de l’actif ne serait pas réalisé du fait que la plaignante conteste l’existence de cette créance. En effet, les infractions des art. 163 et 164 CP se poursuivent d’office. Ainsi, peu importe que la recourante conteste ou non l’existence de la créance qui aurait été cédée sans réelle contrepartie. Cela étant, la cession de cette créance, quelques jours avant la déclaration de la faillite, contre une somme de 30'000 fr. qui n’a jamais été payée, paraît tomber sous le coup de l’art. 164 al. 1 CP. Contrairement à ce que soutient l’intimé, il n’est pas déterminant que par la suite, la faillite ait été suspendue faute d’actifs. Le fait que l’existence de la créance litigieuse doive encore être établie dans une procédure civile en cours est un motif de suspension de la procédure pénale, en application de l’art. 314 al. 1 let. b CPP. Par ailleurs, dans l’hypothèse où la prétendue créance s’avérerait infondée, le Procureur devrait examiner si une tentative pourrait être retenue contre l’intimé, voire si une autre infraction pourrait entrer en ligne de compte. Au regard de ce qui précède, le Procureur ne pouvait pas à ce stade rendre une ordonnance de classement à propos de la cession de la créance litigieuse, mais devait suspendre la procédure pénale pour attendre l’issue du procès pendant devant la Chambre patrimoniale cantonale. Partant, le grief de la recourante doit être admis.</w:t>
      </w:r>
    </w:p>
    <w:p>
      <w:r>
        <w:rPr>
          <w:b/>
        </w:rPr>
        <w:t>E. 2.4</w:t>
      </w:r>
    </w:p>
    <w:p>
      <w:r>
        <w:t>S’agissant du matériel et de l’outillage, le prévenu A.E.________ a expliqué que l’apport en nature d’outils, de matériel et de machines de charpentes à concurrence de 34'000 fr. effectué par sa compagne N.________ lors de la constitution de la société M.________ provenait du matériel qu’il avait lui-même acquis avant la constitution de Z.________. Tout d’abord, comme le relève la recourante, il paraît peu vraisemblable que des biens acquis avant le 4 juillet 2001 puissent encore être estimés à 34'000 francs. En outre, il résulte du bilan de la société Z.________ au 31 décembre 2014 que l’outillage était comptabilisé pour une valeur de 34'000 fr. (pièce 18). Cet actif paraît avoir disparu dans l’inventaire de la faillite dressé le 25 janvier 2016, les objets mobiliers ayant été estimés au total à 1'275 fr., dont seulement 50 fr. correspondant à un lot d’outillage (pièce 18). Compte tenu des circonstances et de la similitude des montants (valeur de 34'000 fr. dans les deux cas, pour du matériel similaire), des investigations complémentaires sur l’éventuelle disparition de cet actif avant le prononcé de la faillite paraissent nécessaires. Il se justifie ainsi d’annuler l’ordonnance de classement et de renvoyer le dossier de la cause au Ministère public pour qu’il poursuive l’instruction.</w:t>
      </w:r>
    </w:p>
    <w:p>
      <w:r>
        <w:rPr>
          <w:b/>
        </w:rPr>
        <w:t>E. 3</w:t>
      </w:r>
    </w:p>
    <w:p>
      <w:r>
        <w:t>Il résulte de ce qui précède que le recours doit être admis. L’ordonnance de classement du 17 juillet 2019 doit être annulée et le dossier de la cause renvoyé au Ministère public de l’arrondissement du Nord vaudois pour qu’il procède dans le sens des considérants. Les frais de la procédure de recours, constitués en l’espèce de l’émolument d'arrêt, par 990 fr. (art. 20 al. 1 TFIP [tarif des frais de procédure et indemnités en matière pénale du 28 septembre 2010 ; BLV 312.03.1]), et de l’indemnité due au conseil d’office de la recourante, fixée à 593 fr. 20, soit au total par 1'583 fr. 20, sont mis à la charge de l’intimé A.E.________, qui succombe (art. 423 al. 1 CPP). Par ces motifs, la Chambre des recours pénale prononce : I. Le recours est admis. II. L’ordonnance du 17 juillet 2019 est annulée. III. Le dossier de la cause est renvoyé au Ministère public de l’arrondissement du Nord vaudois pour qu’il procède dans le sens des considérants. IV. L’indemnité allouée à Me Alexa Landert, conseil d’office de B.E.________, est fixée à 593 fr. 20 (cinq cent nonante-trois francs et vingt centimes), TVA et débours compris. V. Les frais d’arrêt, par 990 fr. (neuf cent nonante francs), ainsi que l’indemnité allouée au conseil d’office de la recourante sous ch. IV ci-dessus, par 593 fr. 20 (cinq cent nonante-trois francs et vingt centimes), sont mis à la charge de A.E.________. VI. L’arrêt est exécutoire. Le président :               La greffière : Du Le présent arrêt, dont la rédaction a été approuvée à huis clos, est notifié, par l'envoi d'une copie complète, à : - Me Alexa Landert, avocate (pour B.E.________), - A.E.________,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