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830 vom 23. September 2019</w:t>
      </w:r>
    </w:p>
    <w:p>
      <w:r>
        <w:t>VD Tribunal cantonal, 2019-09-23, FR</w:t>
      </w:r>
    </w:p>
    <w:p>
      <w:r>
        <w:rPr>
          <w:b/>
        </w:rPr>
        <w:t xml:space="preserve">Quelle: </w:t>
      </w:r>
      <w:r>
        <w:t>https://mcp.opencaselaw.ch/entscheid/vd_findinfo_D_cision___2019___830</w:t>
      </w:r>
    </w:p>
    <w:p>
      <w:r>
        <w:t>FR: VD_FINDINFO Décision / 2019 / 830 du 23 septembre 2019</w:t>
      </w:r>
    </w:p>
    <w:p>
      <w:r>
        <w:t>IT: VD_FINDINFO Décision / 2019 / 830 del 23 settembre 2019</w:t>
      </w:r>
    </w:p>
    <w:p>
      <w:pPr>
        <w:pStyle w:val="Heading2"/>
      </w:pPr>
      <w:r>
        <w:t>Regeste</w:t>
      </w:r>
    </w:p>
    <w:p>
      <w:r>
        <w:t>DIFFAMATION, NON-LIEU, CONCURRENCE DÉLOYALE, PERSONNE MORALE | 173 CP, 23 LCD, 3 al. 1 let. a LCD,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reproche au Ministère public d’avoir considéré que les éléments constitutifs de l’infraction de diffamation n’étaient pas réalisés au motif que les faits ne porteraient atteinte qu’à son honneur professionnel. Elle fait valoir que l’article litigieux, et à plus forte raison la publication sur Twitter qui l’a suivi, aurait manifestement visé à jeter sur la radio H.________ le soupçon de pratiques légalement problématiques ou abusives, voire frauduleuses, ainsi que celui d’une politique discriminatoire en matière de ressources humaines. La recourante soutient par ailleurs qu’un dessein de nuire aurait présidé à la rédaction de l’article litigieux, lequel aurait été écrit sans considération pour les règles déontologiques en matière de journalisme.</w:t>
      </w:r>
    </w:p>
    <w:p>
      <w:r>
        <w:rPr>
          <w:b/>
        </w:rPr>
        <w:t>E. 3.2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 TF 6B_541/2019 du 15 juillet 2019 consid. 2.1). L'honneur protégé par le droit pénal est conçu de façon générale comme un droit au respect, qui est lésé par toute assertion propre à exposer la personne visée au mépris en sa qualité d'être humain (ATF 137 IV 313 précité ; ATF 132 IV 112 consid. 2.1 ; TF 6B_541/2019 précité).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précité consid 2.1.3 ; TF 6B_541/2019 précité).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En particulier,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128 IV 53 précité ; ATF 119 IV 44 consid. 2a ; TF 6B_1020/2018 du 1 er juillet 2019 consid. 5.1.1). En effet, dans le domaine des activités socio-professionnelles, il ne suffit pas, pour qu'il y ait atteinte à l'honneur,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116 IV 205 consid. 2 ; ATF 103 IV 161 consid. 2 ; TF 6B_1020/2018 précité ; TF 6B_224/2016 du 3 janvier 2017 consid. 2.2 et les références citées). Jouit du droit à l'honneur non seulement toute personne physique, mais toute personne morale ou entité capable d'ester en justice, à l'exception des collectivités publiques et des autorités (ATF 124 IV 262 consid. 2a ; ATF 114 IV 14 consid. 2a ; TF 6B_1020/2018 précité et les références citées).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précité ; TF 6B_119/2017 du 12 décembre 2017 consid. 3.1). La diffamation est une infraction intentionnelle (Corboz, Les infractions en droit suisse, 3 e éd., vol. I, Berne 2010, n. 48 ad art. 173 CP). Le dol éventuel est suffisant (ATF 118 IV 153 consid. 5g, JdT 1994 IV 110). Il suffit que l'auteur ait eu conscience du caractère attentatoire à l'honneur de ses propos et qu'il les ait néanmoins proférés ; il n'est pas nécessaire qu'il ait eu la volonté de blesser la personne visée (ATF 137 IV 313 précité consid. 2.1.6 ; TF 6B_974/2018 du 20 décembre 2018 consid. 2.2).</w:t>
      </w:r>
    </w:p>
    <w:p>
      <w:r>
        <w:rPr>
          <w:b/>
        </w:rPr>
        <w:t>E. 3.3</w:t>
      </w:r>
    </w:p>
    <w:p>
      <w:r>
        <w:t>En l’espèce, si l’on s’en tient aux termes mêmes des articles incriminés – et non à l’interprétation qu’en fait la recourante – il en ressort que H.________ est la seule radio romande à avoir renoncé à sa concession et qu’elle n’est dès lors plus tenue de faire valider ses programmes. Le lecteur en retient également que, parmi les nombreux employés licenciés, certains critiquent cet abandon de contrôle sur une radio privée. Il est enfin relevé que cette radio semble avoir engagé énormément d’animateurs venus de France. Par ailleurs, dans un encart, le directeur d’une radio concurrente déclare que la concession est pour lui un label de qualité et un gage de service public. Force est dès lors de constater, à l’instar du Ministère public, que les propos articulés dans cet article – sous quelque forme que ce soit – touchent uniquement à l’activité socio-professionnelle de la recourante et qu’aucune assertion contenue dans ces publications, si tant est qu’elles soient propres à ternir sa réputation, ne la fait apparaître comme méprisable. En particulier, le fait de dire  qu’elle engage des collaborateurs à l’étranger ne fait pas passer la personne morale pour méprisable, et les allégations relatives à l’abandon de sa concession – qui précisent au demeurant la licéité de la démarche – vont parfaitement dans le sens de son slogan « [...]». Par conséquent, les propos contenus dans l’article incriminé, que ce soit dans sa version papier, sur le site Internet du journal Q.________ ou sur le compte Twitter du journaliste, ne sont pas attentatoires à l’honneur de la société G.________ SA. Il en va de même des commentaires anonymes publiés dans le forum de discussion du journal Q.________ sur Internet, qui, bien que critiques à l’égard de la radio H.________, relèvent encore de la liberté d’expression. A cet égard, il y a lieu de préciser que la société G.________ SA n’a au demeurant pas la qualité pour se plaindre des éventuelles allégations directement dirigées contre K.________, la qualité pour agir revenant à celui-ci personnellement. Enfin, il n’appartient pas au juge pénal de se prononcer sur les éventuelles violations de l’éthique journalistique reprochées à T.________. Quant à leur effet sur l’accès de l’intimé à la preuve libératoire, il est nul, dans la mesure où le caractère diffamatoire des propos incriminés a été nié.</w:t>
      </w:r>
    </w:p>
    <w:p>
      <w:r>
        <w:rPr>
          <w:b/>
        </w:rPr>
        <w:t>E. 4.1</w:t>
      </w:r>
    </w:p>
    <w:p>
      <w:r>
        <w:t>La recourante reproche au Ministère public de ne pas avoir traité, dans l’ordonnance entreprise, de la possible violation délibérée des règles en matière de concurrence déloyale reprochée au Groupe S.________. Elle se réfère à cet égard à sa plainte pénale et fait valoir que des indices concrets montreraient que les nouvelles ne seraient pas traitées de la même manière selon qu’elles concerneraient ou non un membre dudit groupe. A titre d’exemple, elle soutient que la politique d’ouverture ou non des espaces « Commentaires » sur le site Internet du journal Q.________ serait peu claire.</w:t>
      </w:r>
    </w:p>
    <w:p>
      <w:r>
        <w:rPr>
          <w:b/>
        </w:rPr>
        <w:t>E. 4.2</w:t>
      </w:r>
    </w:p>
    <w:p>
      <w:r>
        <w:t>Aux termes de l’art. 23 LCD, quiconque, intentionnellement, se rend coupable de concurrence déloyale au sens des art. 3, 4,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133 III 431 consid. 4.1; ATF 131 III 384 consid. 3 ; ATF 126 III 198 consid. 2 c/aa). Selon l’art. 3 al. 1 let. a LCD, agit de façon déloyale celui qui dénigre autrui, ses marchandises, ses œuvres, ses prestations, ses prix ou ses affaires par des allégations inexactes, fallacieuses ou inutilement blessantes. Celui qui dénigre au sens de l’art. 3 al. 1 let. a LCD s'efforce de noircir et de faire mépriser quelqu'un ou quelque chose en l’attaquant et en niant ses qualités. Un propos est dénigrant lorsqu'il rend méprisable le concurrent ou ses marchandises. Tout propos négatif ne suffit pas ; il doit revêtir un certain caractère de gravité (ATF 122 IV 33 consid. 2d). Une allégation n'est pas déjà illicite au sens de l'art. 3 al. 1 let. a LCD du seul fait qu'elle dénigre les marchandises d'un concurrent. Il faut qu'elle soit encore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(TF 6S.244/2003 du 6 octobre 2003 consid. 3.2 et les références citées ; CREP 22 novembre 2016/793 consid. 2.3 ; CREP 13 janvier 2015/26 consid. 6.1).</w:t>
      </w:r>
    </w:p>
    <w:p>
      <w:r>
        <w:rPr>
          <w:b/>
        </w:rPr>
        <w:t>E. 4.3</w:t>
      </w:r>
    </w:p>
    <w:p>
      <w:r>
        <w:t>Le grief de concurrence déloyale ne résiste pas à l’analyse. En effet, il ne ressort du dossier de la cause aucun indice concret d’une campagne de dénigrement du Groupe S.________ à l’encontre de G.________ SA ou de sa radio H.________, de sorte que ce grief, tout comme les mesures d’instruction requises par la recourante à cet égard, s’apparente à une recherche indéterminée de preuves (« fishing expedition »), prohibée en procédure pénale. Au demeurant, c’est à juste titre que le Ministère public a retenu que, dans la mesure où les éléments constitutifs de l’infraction de diffamation faisaient défaut, toute responsabilité pénale du Groupe S.________ sous l’angle de la LCD pouvait être exclue. En effet, pour qu’un propos soit dénigrant au sens de l’art. 3 al. 1 let. a LCD, il faut qu’il rende son concurrent méprisable, ce qui, on l’a vu, n’a pas été retenu dans le cas d’espèce.</w:t>
      </w:r>
    </w:p>
    <w:p>
      <w:r>
        <w:rPr>
          <w:b/>
        </w:rPr>
        <w:t>E. 5</w:t>
      </w:r>
    </w:p>
    <w:p>
      <w:r>
        <w:t>Au vu de ce qui précède, l’appréciation du Ministère public, selon laquelle les éléments constitutifs des infractions de diffamation et de violation de la Loi sur la concurrence déloyale font défaut, ne prête pas le flanc à la critique et c’est à juste titre que la Procureure a refusé d’entrer en matière sur la plainte de la recourante. En définitive, le recours, manifestement mal fondé, doit être rejeté sans échange d’écritures (art. 390 al. 2 CPP) et l’ordonnance attaquée confirmée. Les frais de la procédure de recours, constitués en l’espèce du seul 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22 août 2019 est confirmée. III. Les frais d’arrêt, par 1’100 fr. (mille cent francs), sont mis à la charge de G.________ SA. IV. L’arrêt est exécutoire. Le président :               La greffière : Du Le présent arrêt, dont la rédaction a été approuvée à huis clos, est notifié, par l'envoi d'une copie complète, à : - Me Germain Quach, avocat (pour G.________ SA),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