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825 vom 10. Oktober 2019</w:t>
      </w:r>
    </w:p>
    <w:p>
      <w:r>
        <w:t>VD Tribunal cantonal, 2019-10-10, FR</w:t>
      </w:r>
    </w:p>
    <w:p>
      <w:r>
        <w:rPr>
          <w:b/>
        </w:rPr>
        <w:t xml:space="preserve">Quelle: </w:t>
      </w:r>
      <w:r>
        <w:t>https://mcp.opencaselaw.ch/entscheid/vd_findinfo_D_cision___2019___825</w:t>
      </w:r>
    </w:p>
    <w:p>
      <w:r>
        <w:t>FR: VD_FINDINFO Décision / 2019 / 825 du 10 octobre 2019</w:t>
      </w:r>
    </w:p>
    <w:p>
      <w:r>
        <w:t>IT: VD_FINDINFO Décision / 2019 / 825 del 10 ottobre 2019</w:t>
      </w:r>
    </w:p>
    <w:p>
      <w:pPr>
        <w:pStyle w:val="Heading2"/>
      </w:pPr>
      <w:r>
        <w:t>Regeste</w:t>
      </w:r>
    </w:p>
    <w:p>
      <w:r>
        <w:t>SUSPENSION DE LA PROCÉDURE, JONCTION DE CAUSES, ADMISSION PARTIELLE | 30 CPP (CH), 329 CPP (CH)</w:t>
      </w:r>
    </w:p>
    <w:p>
      <w:pPr>
        <w:pStyle w:val="Heading2"/>
      </w:pPr>
      <w:r>
        <w:t>Erwägungen</w:t>
      </w:r>
    </w:p>
    <w:p>
      <w:r>
        <w:rPr>
          <w:b/>
        </w:rPr>
        <w:t>E. 1.1</w:t>
      </w:r>
    </w:p>
    <w:p>
      <w:r>
        <w:t>Selon l’art. 393 al. 1 let. b CPP, le recours est recevable contre les ordonnances, les décisions et les actes de procédure des tribunaux de première instance, sauf contre ceux de la direction de la procédure.</w:t>
      </w:r>
    </w:p>
    <w:p>
      <w:r>
        <w:rPr>
          <w:b/>
        </w:rPr>
        <w:t>E. 1.2</w:t>
      </w:r>
    </w:p>
    <w:p>
      <w:r>
        <w:t>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le recours du Ministère public est recevable.</w:t>
      </w:r>
    </w:p>
    <w:p>
      <w:r>
        <w:rPr>
          <w:b/>
        </w:rPr>
        <w:t>E. 2</w:t>
      </w:r>
    </w:p>
    <w:p>
      <w:r>
        <w:t>Contre la suspension de la cause PE17.010755, le Ministère public fait valoir qu’un éventuel succès, au bout des six mois de suspension, du traitement entrepris par la prévenue serait sans effet sur le jugement. La suspension litigieuse serait donc inutile. En outre, le report de la suite des débats à la fin du mois de septembre 2019 entraînerait la prescription d’une bonne partie de la contravention à la LStup dont est accusée la prévenue.</w:t>
      </w:r>
    </w:p>
    <w:p>
      <w:r>
        <w:rPr>
          <w:b/>
        </w:rPr>
        <w:t>E. 2.1</w:t>
      </w:r>
    </w:p>
    <w:p>
      <w:r>
        <w:t>Aux termes de l'art. 329 CPP, la direction de la procédure examine si l’acte d’accusation et le dossier sont établis régulièrement (al. 1 let. a); si les conditions à l’ouverture de l’action publique sont réalisées (al. 1 let. b) et s’il existe des empêchements de procéder (al. 1 let. c). S’il apparaît lors de cet examen ou plus tard durant la procédure qu’un jugement au fond ne peut pas encore être rendu, le tribunal suspend la procédure. Au besoin, il renvoie l’accusation au ministère public pour qu’il la complète ou la corrige (al. 2). Pour autant qu’un report du jugement ne lèse pas les droits de parties plaignantes, aucune disposition du CPP, pas même le principe de célérité consacré à l’art.</w:t>
      </w:r>
    </w:p>
    <w:p>
      <w:r>
        <w:rPr>
          <w:b/>
        </w:rPr>
        <w:t>E. 2.2</w:t>
      </w:r>
    </w:p>
    <w:p>
      <w:r>
        <w:t>En l’espèce, il existe des raisons de penser que la prévenue, qui a admis en cours d’instruction consommer des stupéfiants, a agi soit pour financer sa consommation, soit dans un état provoqué par celle-ci. On ne saurait donc exclure qu’un traitement de son addiction, s’il est couronné de succès dans les six mois, ait un effet sur le jugement, tant en ce qui concerne le pronostic pénal et, partant, le sursis, qu’en ce qui concerne l’opportunité d’ordonner une mesure. Quant à la prescription imminente de la contravention à la LStup, elle aurait éventuellement pu justifier une disjonction de cette contravention (cf. Moreillon/Parein-Reymond, Petit commentaire CPP, n. 3 ad art. 30 CPP) – disjonction que le Ministère public ne requiert pas – mais elle ne justifie en tout cas pas un refus de suspension pour l’ensemble de la cause. En tant qu’il est dirigé contre la suspension de la procédure PE17.010755, le recours est donc mal fondé et doit être rejeté. 3. Le Ministère public conteste la jonction des causes PE17.010755 et PE19.005474 ordonnée par le Tribunal d'arrondissement. 3.1 Aux termes de l’art. 30 CPP, si des raisons objectives le justifient, le ministère public ou les tribunaux peuvent ordonner la jonction ou la disjonction de procédures pénales. Bien que le texte légal ne le précise pas expressément, la compétence pour ordonner la jonction ou la disjonction d'une procédure revient à l'autorité qui en a la maîtrise (TF 1B_436/2017 du 18 octobre 2017 consid. 3 et les réf. citées). 3.2 En l'espèce, comme le relève à raison le Ministère public, les causes PE17.010755 et PE19.005474 portent sur des procédures indépendantes l'une de l'autre, qui sont de la compétence d'autorités différentes. En effet, la cause PE17.010755 a fait l'objet d'une ordonnance pénale rendue le 8 octobre 2018 et elle est pendante devant le Tribunal de police de l’arrondissement de l’Est vaudois. En revanche, la cause PE19.005474 fait encore l'objet d'une enquête diligentée depuis peu par le Ministère public de l'arrondissement de La Côte, dont on ne connaît pas encore l'issue. Ainsi, à défaut d'être saisi de la cause PE19.005474, le Tribunal de police n'était pas compétent pour prononcer la jonction de ces deux causes. Le recours est dès lors fondé, en tant qu'il est dirigé contre la jonction des causes PE17.010755 et PE19.005474 et l’ordonnance attaquée doit être réformée en ce sens que le chiffre II de son dispositif est supprimé. 4. Il résulte de ce qui précède que le recours doit être partiellement admis et la décision rendue le 26 mars 2019 par le Tribunal de police de l’arrondissement de l'Est vaudois est réformée dans le sens des considérants qui précèdent. Les frais de la procédure de recours, constitués en l’espèce de l’émolument d'arrêt, par 660 fr. (art. 20 al. 1 TFIP [Tarif des frais de procédure et indemnités en matière pénale du 28 septembre 2010 ; BLV 312.03.1]), et des frais imputables à la défense d’office (art. 422 al. 1 et 2 let. a CPP), fixés à 360 fr., plus des débours par 7 fr. 20 et la TVA par 28 fr. 30, soit à 395 fr. 50 au total, seront mis par moitié, soit 527 fr. 75, à la charge de C.________ qui avait conclu au rejet du recours (art. 428 al. 1 CPP), le solde étant laissé à la charge de l’Etat. Le remboursement à l’Etat de la moitié de l’indemnité allouée au défenseur d’office de l’intimée ne sera toutefois exigible que pour autant que la situation financière de cette dernière le permette (art. 135 al. 4 CPP). Par ces motifs, la Chambre des recours pénale prononce : I. Le recours est partiellement admis. II. La décision du 26 mars 2019 est réformée au chiffre II de son dispositif en ce sens que ce chiffre est supprimé. Elle est confirmée pour le surplus. III. Une indemnité de 395 fr. 50 (trois cent nonante-cinq francs et cinquante centimes), TVA et débours inclus, est allouée à Me Benjamin Schwab, défenseur d’office de C.________, pour ses opérations dans la procédure de recours. IV. Les frais d’arrêt, par 660 (six cent soixante francs), ainsi que l’indemnité allouée à Me Benjamin Schwab, par 395 fr. 50 (trois cent nonante-cinq francs et cinquante centimes), sont mis pour moitié à la charge de C.________ et laissés pour moitié à la charge de l’Etat. V. Le remboursement à l’Etat de la moitié de l’indemnité allouée à Me Benjamin Schwab sous chiffre III ne pourra être exigé de C.________ que pour autant que sa situation financière le permette. VI. L’arrêt est exécutoire. Le président :               La greffière : Du Le présent arrêt, dont la rédaction a été approuvée à huis clos, est notifié, par l'envoi d'une copie complète, à : - Me Benjamin Schwab, avocat (pour C.________), - Ministère public central, et communiqué à : - M. le Procureur cantonal Strada, - Mme la Présidente du Tribunal d'arrondissement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5</w:t>
      </w:r>
    </w:p>
    <w:p>
      <w:r>
        <w:t>CPP, n’interdit au tribunal de première instance de reporter la suite des débats de quelques mois pour permettre au prévenu de faire la preuve de sa bonne volonté dans la réparation des conséquences de ses actes ou de sa détermination à suivre volontairement un traitement propre à prévenir la récidive.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