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810 vom 26. September 2019</w:t>
      </w:r>
    </w:p>
    <w:p>
      <w:r>
        <w:t>VD Tribunal cantonal, 2019-09-26, FR</w:t>
      </w:r>
    </w:p>
    <w:p>
      <w:r>
        <w:rPr>
          <w:b/>
        </w:rPr>
        <w:t xml:space="preserve">Quelle: </w:t>
      </w:r>
      <w:r>
        <w:t>https://mcp.opencaselaw.ch/entscheid/vd_findinfo_D_cision___2019___810</w:t>
      </w:r>
    </w:p>
    <w:p>
      <w:r>
        <w:t>FR: VD_FINDINFO Décision / 2019 / 810 du 26 septembre 2019</w:t>
      </w:r>
    </w:p>
    <w:p>
      <w:r>
        <w:t>IT: VD_FINDINFO Décision / 2019 / 810 del 26 settembre 2019</w:t>
      </w:r>
    </w:p>
    <w:p>
      <w:pPr>
        <w:pStyle w:val="Heading2"/>
      </w:pPr>
      <w:r>
        <w:t>Regeste</w:t>
      </w:r>
    </w:p>
    <w:p>
      <w:r>
        <w:t>SÉQUESTRE{MESURE PROVISIONNELLE}, CONFISCATION{DROIT PÉNAL}, SOUPÇON, LIEN DE CAUSALITÉ | 71 al. 3 CP, 263 al. 1 let. d CPP (CH)</w:t>
      </w:r>
    </w:p>
    <w:p>
      <w:pPr>
        <w:pStyle w:val="Heading2"/>
      </w:pPr>
      <w:r>
        <w:t>Erwägungen</w:t>
      </w:r>
    </w:p>
    <w:p>
      <w:r>
        <w:rPr>
          <w:b/>
        </w:rPr>
        <w:t>E. 1</w:t>
      </w:r>
    </w:p>
    <w:p>
      <w:r>
        <w:t>Selon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 e éd., Bâle 2016, n. 24 ad art. 263 CPP ; Lembo/Julen Berthod, in : Kuhn/Jeanneret [éd.], Commentaire romand, Code de procédure pénale suisse, Bâle 2011, n. 4 ad art. 267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 Interjeté en temps utile par une prévenue, qui a un intérêt juridique à l’annulation ou à la modification de l’ordonnance entreprise (art. 382 al. 1 CPP), et dans les formes prescrites (art. 385 al. 1 CPP), le recours d’E.F.________ est recevable. Les pièces nouvelles le sont également (art. 390 al. 4 i. f. CPP ; Moreillon/Parein-Reymond, op. cit., n. 8 ad art. 385 CPP ; CREP 9 juillet 2012/427 consid. 1b et les réf. citées).</w:t>
      </w:r>
    </w:p>
    <w:p>
      <w:r>
        <w:rPr>
          <w:b/>
        </w:rPr>
        <w:t>E. 2.1</w:t>
      </w:r>
    </w:p>
    <w:p>
      <w:r>
        <w:t>La recourante fait valoir qu’il n’y aurait pas de lien de connexité entre les infractions qui lui sont reprochées et la somme séquestrée et que les soupçons pesant sur elle ne se seraient pas renforcés au fil de l’enquête. Elle soutient en effet que les prêts qui lui ont été consentis, dont elle aurait dûment établi la provenance, étaient affectés à une fin précise, soit l’acquisition d’un kiosque, et qu’ils n’étaient dès lors en aucun cas destinés à financer l’entretien de la famille ou les études des enfants, ni se substituaient aux prestations sociales reçues de l’Etat.</w:t>
      </w:r>
    </w:p>
    <w:p>
      <w:r>
        <w:rPr>
          <w:b/>
        </w:rPr>
        <w:t>E. 2.2.1</w:t>
      </w:r>
    </w:p>
    <w:p>
      <w:r>
        <w:t>En application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Si le motif de séquestre disparaît, le ministère public ou le tribunal lève la mesure et restitue les objets et valeurs patrimoniales à l’ayant droit (art. 267 al. 1 CPP).</w:t>
      </w:r>
    </w:p>
    <w:p>
      <w:r>
        <w:rPr>
          <w:b/>
        </w:rPr>
        <w:t>E. 2.2.2</w:t>
      </w:r>
    </w:p>
    <w:p>
      <w:r>
        <w:t>Le séquestre en vue de confiscation (art. 263 al. 1 let. d CPP) est une mesure conservatoire provisoire – destinée à préserver les objets ou les valeurs que le juge du fond pourrait être amené à confisquer – fondée sur la vraisemblance et qui se justifie aussi longtemps qu'une simple possibilité de confiscation en application du Code pénal semble, prima facie , subsister (ATF 139 IV 250 consid. 2.1 ; ATF 137 IV 145 consid. 6.4 et les réf. citées). L'art. 70 al. 1 CP (Code pénal suisse du 21 décembre 1937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et les réf. citées). Le CPP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(Moreillon/Parein-Reymond, op. cit., n. 8 ad rem. prél. aux art. 263 à 268 CPP).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consid. 4.1.2 et les réf. citées).</w:t>
      </w:r>
    </w:p>
    <w:p>
      <w:r>
        <w:rPr>
          <w:b/>
        </w:rPr>
        <w:t>E. 2.2.3</w:t>
      </w:r>
    </w:p>
    <w:p>
      <w:r>
        <w:t>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En outre, la mesure doit pouvoir être ordonnée rapidement (cf. art. 263 al. 2 CPP), ce qui exclut la résolution de questions juridiques complexes (voir les arrêts cités par Lembo/Julen Berthod, op. cit., n. 25 ad art. 263 CPP). Un séquestre est proportionné lorsqu’il porte sur des avoirs dont on peut admettre en particulier qu’ils pourront être vraisemblablement confisqués en application du droit pénal. Tant que l’instruction n’est pas achevée et que subsiste une probabilité de confiscation ou de créance compensatrice, la mesure conservatoire doit être maintenue (ATF 141 IV 360 consid. 3.2). L’intégralité des fonds doit demeurer à disposition de la justice aussi longtemps qu’il existe un doute sur la part de ceux-ci qui pourrait provenir d’une activité criminelle (TF 1B_118/2018 du 5 juillet 2018 consid. 4.1 ; TF 1B_145/2016 du 1 er juillet 2016 consid. 3.1 et les arrêts cités) et un séquestre ne peut donc être levé que dans l’hypothèse où il est d’emblée manifeste et indubitable que les conditions matérielles d’une confiscation ne sont pas réalisées et ne pourront pas l’être (ATF 140 IV 133 consid. 4.2.1 ; ATF 139 IV 250 consid. 2.1). Les probabilités d’une confiscation, respectivement du prononcé d’une créance compensatrice, doivent cependant se renforcer au cours de l’instruction (ATF 122 IV 91 consid. 4 ; TF 1B_118/2018 du 5 juillet 2018 consid. 4.1 ; TF 1B_194/2018 du 28 mai 2018 consid. 4.3). Un séquestre peut apparaître disproportionné lorsque la procédure dans laquelle il s’inscrit s’éternise sans motifs suffisants (ATF 132 I 229 consid. 11.6) ; il faut en outre que la quotité de cette mesure reste en rapport avec le produit de l’infraction poursuivie (ATF 130 II 329 consid. 6 ; TF 1B_118/2018 du 5 juillet 2018 consid. 4.1).</w:t>
      </w:r>
    </w:p>
    <w:p>
      <w:r>
        <w:rPr>
          <w:b/>
        </w:rPr>
        <w:t>E. 2.3</w:t>
      </w:r>
    </w:p>
    <w:p>
      <w:r>
        <w:t>En l’espèce, s’il devait s’avérer que la recourante et/ou son co-prévenu, à savoir son fils B.F.________, ont perçu indûment des prestations sociales du Service social de la Ville de Lausanne et/ou de l’OCBE, tout ou partie du montant de 190'000 fr. pourrait être confisqué, à titre de créance compensatrice, en lieu et place des prestations indûment touchées, et être le cas échéant alloué au(x) lésé(s) à titre de dédommagement. Il s’agit là du principal motif pour lequel le séquestre sur cette somme a été ordonné, en application de l’art. 71 al. 3 CP. C’est donc en vain que la recourante conteste l’existence d’un lien de connexité entre les infractions reprochées et la somme séquestrée puisque, dans un tel cas, un tel lien n’est pas exigé. Pour le surplus, il y a lieu de suivre la Procureure lorsqu’elle estime que les déclarations de C.F.________ et de la recourante et les documents produits par cette dernière ne sont pas suffisamment probants pour affirmer à ce stade de la procédure qu’E.F.________ ou son fils B.F.________ n’ont commis aucun comportement pénalement répréhensible. La réalité des prêts consentis n’est notamment pas vérifiée et il n’est pas exclu que ceux-ci aient une origine criminelle, ce qui justifie un séquestre conservatoire en vue de confiscation au sens de l’art. 263 al. 1 let. d CPP. Le point de savoir si la recourante avait droit aux prestations sociales qu’il lui est reproché d’avoir perçues indûment, alors même qu’elle aurait reçu des prêts – élément qui reste donc à vérifier – affectés à l’achat d’un commerce est au demeurant une question juridique délicate qu’il n’appartient pas au juge du séquestre de résoudre, seul le juge du fond étant apte à trancher. En l’état, il subsiste donc des soupçons suffisants de commission d’une infraction qui justifient le maintien du séquestre.</w:t>
      </w:r>
    </w:p>
    <w:p>
      <w:r>
        <w:rPr>
          <w:b/>
        </w:rPr>
        <w:t>E. 3</w:t>
      </w:r>
    </w:p>
    <w:p>
      <w:r>
        <w:t>Il résulte de ce qui précède que le recours, manifestement mal fondé, doit être rejeté sans échange d’écritures (art. 390 al. 2 CPP) et l’ordonnance querellée confirmée. Les frais de la procédure de recours, constitués en l’espèce du seul émolument d’arrêt (art. 422 al. 1 CPP), par 1'100 fr. (art. 20 al. 1 TFIP [Tarif des frais de procédure et indemnités en matière pénale du 28 septembre 2010 ; BLV 312.03.1]), seront mis à la charge de la recourante, qui succombe (art. 428 al. 1, 1 re phrase, CPP). Par ces motifs, la Chambre des recours pénale prononce : I. Le recours est rejeté. II. L’ordonnance du 9 septembre 2019 est confirmée. III. Les frais d’arrêt, par 1'100 fr. (mille cent francs), sont mis à la charge d’E.F.________. IV. L’arrêt est exécutoire. Le président : La greffière : Du Le présent arrêt, dont la rédaction a été approuvée à huis clos, est notifié, par l'envoi d'une copie complète, à : - Me Véronique Fontana, avocate (pour E.F.________), - Me Johanna Trümpy, avocate (pour B.F.________),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