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81 vom 15. Januar 2019</w:t>
      </w:r>
    </w:p>
    <w:p>
      <w:r>
        <w:t>VD Tribunal cantonal, 2019-01-15, FR</w:t>
      </w:r>
    </w:p>
    <w:p>
      <w:r>
        <w:rPr>
          <w:b/>
        </w:rPr>
        <w:t xml:space="preserve">Quelle: </w:t>
      </w:r>
      <w:r>
        <w:t>https://mcp.opencaselaw.ch/entscheid/vd_findinfo_D_cision___2019___81</w:t>
      </w:r>
    </w:p>
    <w:p>
      <w:r>
        <w:t>FR: VD_FINDINFO Décision / 2019 / 81 du 15 janvier 2019</w:t>
      </w:r>
    </w:p>
    <w:p>
      <w:r>
        <w:t>IT: VD_FINDINFO Décision / 2019 / 81 del 15 gennaio 2019</w:t>
      </w:r>
    </w:p>
    <w:p>
      <w:pPr>
        <w:pStyle w:val="Heading2"/>
      </w:pPr>
      <w:r>
        <w:t>Regeste</w:t>
      </w:r>
    </w:p>
    <w:p>
      <w:r>
        <w:t>DÉFENSE D'OFFICE, ADMISSION DE LA DEMANDE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est recevable (Moreillon/Parein-Reymond, Code de procédure pénale, Petit commentaire, 2 e éd., Bâle 2016, n. 18 ad art. 132 CPP ; CREP 17 août 2017/542 consid. 1 et les références citées).</w:t>
      </w:r>
    </w:p>
    <w:p>
      <w:r>
        <w:rPr>
          <w:b/>
        </w:rPr>
        <w:t>E. 2.1</w:t>
      </w:r>
    </w:p>
    <w:p>
      <w:r>
        <w:t>En dehors des cas de défense obligatoire,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Si les deux conditions mentionnées à l'art. 132 al. 2 CPP doivent être réunies cumulativement, il n'est pas exclu que l'intervention d'un défenseur soit justifiée par d'autres motifs (comme l'indique l'adverbe « notamment » ; ATF 143 I 164 consid. 3.4, RDAF 2018 I 310),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1B_93/2018 du 29 mai 2018 consid. 3.1 et les arrêts cités). Les critères énoncés par l'art. 132 al. 1 let. b, al. 2 et 3 CPP reprennent largement la jurisprudence du Tribunal fédéral en matière d'assistance judiciaire, rendue sur la base des art. 29 al. 3 Cst. et 6 ch. 3 let. c CEDH (Convention du 4 novembre 1950 de sauvegarde des droits de l'homme et des libertés fondamentales ; RS 0.101). Selon la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1B_93/2018 du 29 mai 2018 consid. 3.1 ;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 TF 6B_832/2018 du 22 octobre 2018 consid. 5.1). La difficulté objective d'une cause est admise sur le plan juridique lorsque la subsomption des faits donne lieu à des doutes, que ce soit de manière générale ou dans le cas particulier ;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1B_128/2018 du 23 juillet 2018 consid. 2.1 et les arrêts cités ; TF 1B_93/2018 du 29 mai 2018 consid. 3.1 et les arrêts cités).</w:t>
      </w:r>
    </w:p>
    <w:p>
      <w:r>
        <w:rPr>
          <w:b/>
        </w:rPr>
        <w:t>E. 2.2</w:t>
      </w:r>
    </w:p>
    <w:p>
      <w:r>
        <w:t>La recourante fait valoir que les faits qui lui sont reprochés se seraient déroulés dans un contexte de violence du père, lequel a d’ailleurs déjà été condamné par voie d’ordonnance pénale pour certains des faits dénoncés. Par ailleurs, depuis le mois de février 2018, la justice a été amenée à se pencher sur le cas de cette famille et les enfants font l’objet d’un suivi du Service de protection de la jeunesse. En particulier, par décision de mesures provisionnelles rendue le 26 juin 2018 par la Justice de paix, le droit de déterminer le lieu de résidence de A.S.________ et B.S.________ a été retiré à la recourante. Afin de pouvoir continuer à partager le quotidien de ses enfants, celle-ci réside depuis le 11 juillet 2018 avec eux dans un foyer maternel ([...]). La recourante fait également valoir qu’elle se retrouve aujourd’hui dans l’obligation de démontrer qu’elle dispose des capacités éducatives nécessaires à la restitution de son droit de déterminer le lieu de résidence de A.S.________ et B.S.________, et que, dans ce contexte, les répercussions des faits instruits par la justice pénale seraient importantes et multiples. En outre, on constaterait à la lecture des différents procès-verbaux déjà au dossier que les faits de la cause seraient en réalité complexes. Ainsi, après plusieurs mois d’investigation, les circonstances dans lesquelles le fémur de B.S.________ a été fracturé demeurent inexpliquées, de sorte que l’audition de témoins serait nécessaire afin de faire la lumière sur la situation des enfants du couple. La recourante fait enfin valoir qu’une personne raisonnable et de bonne foi, qui disposerait des mêmes caractéristiques qu’elle, mais qui disposerait de ressources suffisantes, ferait immanquablement appel à un homme de loi. Enfin, elle relève que son indigence n’est pas contestée.</w:t>
      </w:r>
    </w:p>
    <w:p>
      <w:r>
        <w:rPr>
          <w:b/>
        </w:rPr>
        <w:t>E. 2.3</w:t>
      </w:r>
    </w:p>
    <w:p>
      <w:r>
        <w:t>En l’occurrence, bien que les infractions soient d’une gravité relative, il s’agit de violences d’une jeune mère sur ses enfants en bas âge, cette dernière ayant notamment déclaré à la police, s’agissant de son fils de neuf mois « […] de plus mon fils présente une fracture au fémur dont l’origine reste indéterminée. Je n’exclus pas être responsable de cette fracture » (P. 4 p. 4). Il ressort également du dossier que K.________ réside actuellement avec ses enfants dans un foyer et se trouve dans l’obligation de démontrer qu’elle dispose des capacités éducatives nécessaires à la restitution de son droit de déterminer le lieu de résidence de ses enfants. Il ne fait dès lors aucun doute que les conséquences de l’enquête pourraient avoir des répercussions importantes sur ses affaires civiles en cours, notamment s’agissant de ses droits envers ses enfants. On relèvera encore que la recourante n’est âgée que de 24 ans, qu’elle est actuellement sans emploi et qu’elle n’est pas familière de la pratique judiciaire. Au vu de ces éléments, l’assistance d’un défenseur, à laquelle recourrait indubitablement une personne raisonnable et de bonne foi placée dans les mêmes circonstances, mais qui disposerait de ressources suffisantes, se justifie. Partant, il apparaît que les conditions prévues à l’art. 132 al. 1 let. b CPP sont réalisées, étant précisé que l’indigence de la recourante n’est pas contestée. C’est ainsi à tort que le Ministère public a refusé la désignation d’un défenseur d’office à la recourante, laquelle apparaît justifiée pour assurer la sauvegarde de ses intérêts.</w:t>
      </w:r>
    </w:p>
    <w:p>
      <w:r>
        <w:rPr>
          <w:b/>
        </w:rPr>
        <w:t>E. 3</w:t>
      </w:r>
    </w:p>
    <w:p>
      <w:r>
        <w:t>En définitive, le recours de K.________ doit être admis et l’ordonnance attaquée réformée en ce sens que Me Mathieu Genillod est désigné en qualité de défenseur d’office de cette dernière. La désignation prendra effet au jour du dépôt de la demande (cf. CREP 24 juillet 2018/559 ; CREP 14 juin 2018/452), soit le 21 novembre 2018 (P. 23). La recourante ayant obtenu gain de cause, les frais de la procédure de recours, constitués en l’espèce de l’émolument d’arrêt, par 770 fr. (art. 20 al. 1 TFIP [Tarif des frais de procédure et indemnités en matière pénale du 28 septembre 2010; RSV 312.03.1]), ainsi que de l’indemnité allouée à son défenseur d’office, arrêtée à 540 fr., plus la TVA par 41 fr. 60, soit à 581 fr. 60 au total, seront laissés à la charge de l’Etat (art. 428 al. 1 CPP). Par ces motifs, la Chambre des recours pénale prononce : I. Le recours est admis. II. L’ordonnance du 12 décembre 2018 est réformée en ce sens que Me Mathieu Genillod est désigné en qualité de défenseur d’office de K.________, avec effet au 21 novembre 2018. III. L’indemnité allouée au défenseur d’office de K.________ pour la procédure de recours est fixée à 581 fr. 60 (cinq cent huitante et un francs et soixante centimes). IV. Les frais d’arrêt, par 770 fr. (sept cent septante francs), ainsi que l’indemnité due au défenseur d’office de K.________, par 581 fr. 60 (cinq cent huitante et un francs et soixante centimes), sont laissés à la charge de l’Etat. V. L’arrêt est exécutoire. Le président :               La greffière : Du Le présent arrêt, dont la rédaction a été approuvée à huis clos, est notifié, par l'envoi d'une copie complète, à : - Me Mathieu Genillod, avocat (pour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