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804 vom 24. September 2019</w:t>
      </w:r>
    </w:p>
    <w:p>
      <w:r>
        <w:t>VD Tribunal cantonal, 2019-09-24, FR</w:t>
      </w:r>
    </w:p>
    <w:p>
      <w:r>
        <w:rPr>
          <w:b/>
        </w:rPr>
        <w:t xml:space="preserve">Quelle: </w:t>
      </w:r>
      <w:r>
        <w:t>https://mcp.opencaselaw.ch/entscheid/vd_findinfo_D_cision___2019___804</w:t>
      </w:r>
    </w:p>
    <w:p>
      <w:r>
        <w:t>FR: VD_FINDINFO Décision / 2019 / 804 du 24 septembre 2019</w:t>
      </w:r>
    </w:p>
    <w:p>
      <w:r>
        <w:t>IT: VD_FINDINFO Décision / 2019 / 804 del 24 settembre 2019</w:t>
      </w:r>
    </w:p>
    <w:p>
      <w:pPr>
        <w:pStyle w:val="Heading2"/>
      </w:pPr>
      <w:r>
        <w:t>Regeste</w:t>
      </w:r>
    </w:p>
    <w:p>
      <w:r>
        <w:t>NOTIFICATION DE LA DÉCISION, TRAVAIL D'INTÉRÊT GÉNÉRAL, RÉVOCATION{EN GÉNÉRAL}, SUSPENSION DE L'EXÉCUTION DE LA PEINE, EXÉCUTION DES PEINES ET DES MESURES | 79a CP, 10 Rtig, 85 CPP (CH)</w:t>
      </w:r>
    </w:p>
    <w:p>
      <w:pPr>
        <w:pStyle w:val="Heading2"/>
      </w:pPr>
      <w:r>
        <w:t>Erwägungen</w:t>
      </w:r>
    </w:p>
    <w:p>
      <w:r>
        <w:rPr>
          <w:b/>
        </w:rPr>
        <w:t>E. 1.1</w:t>
      </w:r>
    </w:p>
    <w:p>
      <w:r>
        <w:t>Aux termes de l'art. 38 al. 1 LEP (loi sur l’exécution des condamnations pénales du 4 juillet 2006 ; BLV 340.01), les décisions rendues par l’OEP – lequel est notamment compétent pour suspendre ou interrompre l'exécution d’une peine sous la forme du travail d'intérêt général (art. 20 al. 1 let. d LEP et art. 15 al. 1 RTIG)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Les autorités pénales notifient leurs prononcés par lettre signature ou par tout autre mode de communication impliquant un accusé de réception, notamment par l'entremise de la police (art. 85 al. 2 CPP). La date de réception étant déterminante pour faire courir le délai de recours, la règle de l'art. 85 al.</w:t>
      </w:r>
    </w:p>
    <w:p>
      <w:r>
        <w:rPr>
          <w:b/>
        </w:rPr>
        <w:t>E. 1.3</w:t>
      </w:r>
    </w:p>
    <w:p>
      <w:r>
        <w:t>En l’espèce, le recourant a produit une pièce indiquant qu’il avait réceptionné la décision du 4 juillet 2019 seulement le 6 septembre 2019, ayant signé la déclaration de réception de la décision attaquée à cette date-là. Le recourant prétend qu’il était à l’étranger durant les mois de juin, juillet et août 2019. La date de la réception de la décision attaquée ne pouvant pas être déterminée autrement que par la pièce produite par le recourant, la décision n’ayant pas été envoyée par courrier recommandé, il y a lieu d’admettre qu’il a reçu la décision attaquée le 6 septembre 2019, date faisant partir le délai de recours de dix jours. Il convient ainsi de considérer que le recours, interjeté dans le délai légal auprès de l'autorité compétente, par un condamné qui a qualité pour recourir (art. 382 al. 1 CPP), est recevable.</w:t>
      </w:r>
    </w:p>
    <w:p>
      <w:r>
        <w:rPr>
          <w:b/>
        </w:rPr>
        <w:t>E. 2</w:t>
      </w:r>
    </w:p>
    <w:p>
      <w:r>
        <w:t>CPP se justifie par le fait qu'il faut acquérir la certitude que le prévenu a bien reçu la décision et qu'il a eu la possibilité d’interjeter recours (Gilliéron/Killias, in : Commentaire romand, Code de procédure pénale suisse, Bâle 2011, n° 14 ad art. 353 CPP). De jurisprudence constante, le fardeau de la preuve de la notification et de la date de celle-ci incombe en principe à l'autorité qui entend en tirer une conséquence juridique (ATF 142 IV 125 consid. 4.3 ; ATF 136 V 295 consid. 5.9,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 TF 6B_ 869/2014 du 18 septembre 2015 consid. 1.2). La preuve de la notification peut néanmoins résulter d'autres indices ou de l'ensemble des circonstances, par exemple un échange de correspondance ultérieur ou le comportement du destinataire (ATF 105 III 43 consid. 2a). La preuve de la date de réception par le recourant – seule déterminante – ne peut être considérée comme rapportée par la seule référence aux délais usuels d'acheminement des envois postaux (ATF 142 IV 125 consid. 4.4). Le Tribunal fédéral a déjà dit qu'une erreur ou un retard dans la distribution du courrier par pli simple ne peuvent être exclus, même s'ils apparaissent improbables (TF 9C_744/2012 du 15 janvier 2013 consid. 5.3, in : RtiD 2013 II p. 342 ; TF 2P.177/2001 du 9 juillet 2002 consid. 1.4). Il est en pratique difficile, pour ne pas dire impossible, d'établir la preuve qu'une communication est parvenue à son destinataire en cas d'envoi sous pli simple (ATF 142 IV 125 consid. 4.4 et la réf.).</w:t>
      </w:r>
    </w:p>
    <w:p>
      <w:r>
        <w:rPr>
          <w:b/>
        </w:rPr>
        <w:t>E. 2.1</w:t>
      </w:r>
    </w:p>
    <w:p>
      <w:r>
        <w:t>Le recourant conteste toute absence de collaboration avec l’OEP, soutenant qu’il avait informé par courriel, le 14 avril 2019, qu’il serait à l’étranger durant les mois de juin, juillet et août 2019. Il prétend ainsi qu’il aurait accepté d’exécuter sa peine sous forme de TIG le 24 mai 2019, mais que la FVP l’aurait informé que ce n’était pas possible à cette date-là et qu’elle l’aurait convoqué pour exécuter sa peine le 12 juin 2019, ce à quoi il aurait rétorqué qu’il serait l’étranger à ce moment-là.</w:t>
      </w:r>
    </w:p>
    <w:p>
      <w:r>
        <w:rPr>
          <w:b/>
        </w:rPr>
        <w:t>E. 2.2</w:t>
      </w:r>
    </w:p>
    <w:p>
      <w:r>
        <w:t>Introduite par la loi fédérale du 19 juin 2015, la réforme du droit des sanctions, qui intègre le TIG au titre de modalité d’exécution d’une sanction, est en vigueur depuis le 1 er janvier 2018 (RO 2016 p. 1249 ; FF 2012 p. 4385). Issu de cette réforme, l’art. 79a CP (Code pénal suisse du 21 décembre 1937 ; RS 311.0), applicable en vertu de l’art. 388 al. 3 CP, prévoit notamment, à son alinéa 1 er , qu’une peine privative de liberté de six mois au plus (let. a) ou qu’un solde de peine de six mois au plus après imputation de la détention avant jugement (let. b) peuvent, à la demande du condamné, être exécutés sous la forme d’un travail d’intérêt général s’il n’y a pas lieu de craindre qu’il s’enfuie ou commette d’autres infractions. En droit cantonal, le Règlement concordataire sur l’exécution des peines sous la forme du travail d’intérêt général du 20 décembre 2017 (RTIG ; BLV 340.95.4) prévoit, à son art. 10 al. 1, que l'autorisation du TIG, respectivement la convention entre l'autorité d'exécution, la personne condamnée et l'employeur règlent notamment : la nature et la durée du TIG (let. a), le plan d'engagement du TIG, avec le début de l'engagement et le temps de travail (let. b) et la surveillance du TIG, la communication du non-respect de l'obligation de travailler, ainsi que l'annonce de la fin de l'engagement (let. c). Selon l’art. 14 RTIG, l'autorité dont le condamné dépend peut adresser un avertissement au condamné qui ne respecte pas les conditions inhérentes au TIG ou si, de toute autre manière, il trompe la confiance mise en lui, notamment s'il n'effectue pas le travail dans les délais (let. a), possède ou consomme des produits stupéfiants (let. b) ou ne respecte pas une obligation qui lui a été faite (let. c). En vertu de l’art. 15 RTIG, si, en dépit d'un avertissement formel, le condamné persiste dans son comportement, l'autorité dont il dépend peut révoquer le TIG et ordonner, avec effet immédiat, l'exécution du solde de peine en régime ordinaire ou sous la forme de la semi-détention, s'il en remplit les conditions. Le cas échéant, la peine pécuniaire ou l'amende est recouvrée (al. 1). Dans les cas graves, la révocation peut être ordonnée sans avertissement préalable (al. 2).</w:t>
      </w:r>
    </w:p>
    <w:p>
      <w:r>
        <w:rPr>
          <w:b/>
        </w:rPr>
        <w:t>E. 2.3</w:t>
      </w:r>
    </w:p>
    <w:p>
      <w:r>
        <w:t>En l’espèce, le recourant a reçu un avertissement formel le 22 mai 2019 au vu de son absence de collaboration avec la FVP, un programme d’exécution lui ayant été transmis auquel il n’a pas donné suite, il a été sommé de prendre contact avec cette entité dans un délai de trois jours pour définir un nouveau programme de TIG. En tant que ses reproches concernent une période antérieure à cet avertissement, ils sont tardifs, cet avertissement n’ayant pas été formellement contesté. En outre, il ressort des nombreux courriels au dossier, envoyés à chaque étape par le recourant à l’OEP et à la FVP, que celui-ci a d’emblée adopté un comportement ergoteur, si ce n’est moqueur. Cela corrobore pleinement les éléments factuels énoncés dans la décision attaquée sur son manque de collaboration et le caractère inadéquat et moqueur de ses propos lors du second téléphone du 23 mai 2019, tel qu’il est relaté dans le rapport de la FVP du 21 juin 2019. A titre d’exemple, on peut relever que le recourant, auquel une tâche de cartonnage avait été confiée pour l’exécution de son TIG, s’est montré d’emblée (faussement) vétilleux : ainsi, il a demandé la couleur des boîtes, leurs dimensions, et a demandé s’il devait porter une cravate ou s’il pouvait effectuer du coloriage, répétant à plusieurs reprises qu’il était du devoir de son interlocutrice de lui fournir des informations très précises. Par ailleurs, le fait que le recourant aurait été absent entre les mois de juin à août 2019 n’est pas établi, le recourant se contentant d’allégations non étayées. Au demeurant, ce n’est pas cette prétendue absence qui a provoqué la décision entreprise, mais bien le comportement du recourant. Au vu de ce qui précède, l’OEP était donc fondé à révoquer l’exécution de la peine sous la forme du régime du TIG.</w:t>
      </w:r>
    </w:p>
    <w:p>
      <w:r>
        <w:rPr>
          <w:b/>
        </w:rPr>
        <w:t>E. 3</w:t>
      </w:r>
    </w:p>
    <w:p>
      <w:r>
        <w:t>Au vu de ce qui précède, le recours, manifestement mal fondé, doit être rejeté sans échange d’écritures (art. 390 al. 2 CPP) et la décision du 2 août 2019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 août 2019 est confirmée. III. Les frais d’arrêt, par 1’100 fr. (mille cent francs), sont mis à la charge du recourant. IV. L’arrêt est exécutoire. Le président :               La greffière : Du Le présent arrêt, dont la rédaction a été approuvée à huis clos, est notifié, par l'envoi d'une copie complète, à : - X.________, - Ministère public central, et communiqué à : - Office d’exécution des peines, - Fondation vaudoise de probation, à Epalinges, - Service de l’exécution des sanctions pénales et de la probation, à Granges-Paccot,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