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802 vom 27. September 2019</w:t>
      </w:r>
    </w:p>
    <w:p>
      <w:r>
        <w:t>VD Tribunal cantonal, 2019-09-27, FR</w:t>
      </w:r>
    </w:p>
    <w:p>
      <w:r>
        <w:rPr>
          <w:b/>
        </w:rPr>
        <w:t xml:space="preserve">Quelle: </w:t>
      </w:r>
      <w:r>
        <w:t>https://mcp.opencaselaw.ch/entscheid/vd_findinfo_D_cision___2019___802</w:t>
      </w:r>
    </w:p>
    <w:p>
      <w:r>
        <w:t>FR: VD_FINDINFO Décision / 2019 / 802 du 27 septembre 2019</w:t>
      </w:r>
    </w:p>
    <w:p>
      <w:r>
        <w:t>IT: VD_FINDINFO Décision / 2019 / 802 del 27 settembre 2019</w:t>
      </w:r>
    </w:p>
    <w:p>
      <w:pPr>
        <w:pStyle w:val="Heading2"/>
      </w:pPr>
      <w:r>
        <w:t>Regeste</w:t>
      </w:r>
    </w:p>
    <w:p>
      <w:r>
        <w:t>OPPOSITION{PROCÉDURE}, ORDONNANCE DE SÉQUESTRE, FAUX DANS LES CERTIFICATS, CONDUITE SANS AUTORISATION, PERMIS DE CONDUIRE | 263 al. 1 let. a CPP (CH), 263 al. 1 let. d CPP (CH), 263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 e éd., Bâle 2016, n. 24 ad art. 263 CPP ; Lembo/Julen Berthod, in : Kuhn/Jeanneret [éd.], Commentaire romand, Code de procédure pénale suisse, Bâle 2011, n. 4 ad art. 267 CPP ; CREP 7 avril 2018/265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Dans le cadre d’un recours contre une ordonnance de séquestre, un intérêt juridiquement protégé doit être reconnu à celui qui jouit sur les objets ou valeurs confisqués d'un droit de propriété ou d'un droit réel limité (TF 1B_94/2012 du 2 avril 2012 consid. 2 et les arrêts cités, SJ 2012 I p. 353 ; Moreillon/Parein-Reymond, op. cit., n. 6 ad art. 382 CPP et les réf. citées).</w:t>
      </w:r>
    </w:p>
    <w:p>
      <w:r>
        <w:rPr>
          <w:b/>
        </w:rPr>
        <w:t>E. 1.2</w:t>
      </w:r>
    </w:p>
    <w:p>
      <w:r>
        <w:t>Les autorités pénales notifient leurs prononcés par lettre signature ou par tout autre mode de communication impliquant un accusé de réception, notamment par l'entremise de la police (art. 85 al. 2 CPP). La date de réception étant déterminante pour faire courir le délai de recours, la règle de l'art. 85 al.</w:t>
      </w:r>
    </w:p>
    <w:p>
      <w:r>
        <w:rPr>
          <w:b/>
        </w:rPr>
        <w:t>E. 1.3</w:t>
      </w:r>
    </w:p>
    <w:p>
      <w:r>
        <w:t>En l’espèce, le recours interjeté contre l’ordonnance de séquestre du 27 août 2019 est daté du 20 septembre 2019 et a été remis à la Poste le 21 septembre 2019. L’ordonnance n’ayant pas été envoyée sous pli recommandé, il n’est pas possible de déterminer la date à laquelle elle a été réceptionnée et par conséquent, de déterminer l’échéance du délai de recours de dix jours. Partant, il y a lieu de considérer que le recourant a agi en temps utile. Pour le surplus, interjeté contre une ordonnance de séquestre du Ministère public (art. 263 al. 1 et 393 al. 1 let. a CPP), par le prévenu, détenteur du permis de conduire séquestré, et qui a ainsi un intérêt juridique à l’annulation ou à la modification de l’ordonnance, dans les formes prescrites, le recours est recevable.</w:t>
      </w:r>
    </w:p>
    <w:p>
      <w:r>
        <w:rPr>
          <w:b/>
        </w:rPr>
        <w:t>E. 2</w:t>
      </w:r>
    </w:p>
    <w:p>
      <w:r>
        <w:t>CPP se justifie par le fait qu'il faut acquérir la certitude que le prévenu a bien reçu la décision et qu'il a eu la possibilité d’interjeter recours (Gilliéron/Killias, in : Kuhn/Jeanneret [éd.], op. cit., n. 14 ad art. 353 CPP). De jurisprudence constante, le fardeau de la preuve de la notification et de la date de celle-ci incombe en principe à l'autorité qui entend en tirer une conséquence juridique (ATF 142 IV 125 consid. 4.3 ; ATF 136 V 295 consid. 5.9, avec les nombreuses références). L'autorité supporte donc les conséquences de l'absence de preuve en ce sens que si la notification ou sa date sont contestées et qu'il existe effectivement un doute à ce sujet, il y a lieu de se fonder sur les déclarations du destinataire de l'envoi (ATF 129 I 8 consid. 2.2 ; ATF 124 V 400 consid. 2a ; TF 6B_ 869/2014 du 18 septembre 2015 consid. 1.2). La preuve de la notification peut néanmoins résulter d'autres indices ou de l'ensemble des circonstances, par exemple un échange de correspondance ultérieur ou le comportement du destinataire (ATF 105 III 43 consid. 2a). La preuve de la date de réception par le recourant – seule déterminante – ne peut être considérée comme rapportée par la seule référence aux délais usuels d'acheminement des envois postaux (ATF 142 IV 125 consid. 4.4). Le Tribunal fédéral a déjà dit qu'une erreur ou un retard dans la distribution du courrier par pli simple ne peuvent être exclus, même s'ils apparaissent improbables (TF 9C_744/2012 du 15 janvier 2013 consid. 5.3, in : RtiD 2013 II p. 342 ; TF 2P.177/2001 du 9 juillet 2002 consid. 1.4). Il est en pratique difficile, pour ne pas dire impossible, d'établir la preuve qu'une communication est parvenue à son destinataire en cas d'envoi sous pli simple (ATF 142 IV 125 consid. 4.4 et la réf.).</w:t>
      </w:r>
    </w:p>
    <w:p>
      <w:r>
        <w:rPr>
          <w:b/>
        </w:rPr>
        <w:t>E. 2.1</w:t>
      </w:r>
    </w:p>
    <w:p>
      <w:r>
        <w:t>Le recourant soutient que le séquestre n’aurait pas été ordonné dans le cadre d’une véritable enquête et qu’il serait inexact d’affirmer qu’il circulait sans permis de conduire. Il prétend en outre que la France aurait accepté son permis de conduire et que toutes les autorités congolaises consulaires ou ambassades de son pays pourraient certifier son authenticité, quand bien même le format de celui-ci avait été modifié depuis la période de son obtention.</w:t>
      </w:r>
    </w:p>
    <w:p>
      <w:r>
        <w:rPr>
          <w:b/>
        </w:rPr>
        <w:t>E. 2.2</w:t>
      </w:r>
    </w:p>
    <w:p>
      <w:r>
        <w:t>Le séquestre pénal est prononcé en principe sur la base de l'art. 263 CPP, qui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est ordonné par voie d'ordonnance écrite, brièvement motivée (art. 263 al. 2, 1 re phrase,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consid. 3.1 ; Lembo/Julen Berthod, op. cit., n. 26 ad art. 263 CPP et les réf. citées).</w:t>
      </w:r>
    </w:p>
    <w:p>
      <w:r>
        <w:rPr>
          <w:b/>
        </w:rPr>
        <w:t>E. 2.3</w:t>
      </w:r>
    </w:p>
    <w:p>
      <w:r>
        <w:t>En l’espèce, les recherches approfondies effectuées par le personnel du CGFR ont révélé des défauts dans le permis présenté par le recourant. En effet, le rapport de l’Administration fédérale des douanes du 31 juillet 2019 indique que la sécurité UV était manquante et que le document en question ne correspondait pas avec la description d’un permis authentique. Ces éléments font ainsi suspecter qu’il s’agirait d’un faux. Partant, les conditions d’application de l’art. 263 al. 1 let. a et d CPP sont remplies. Il appartiendra au Ministère public à la fin de l’instruction, voire au juge du fond, d’apprécier, définitivement, compte tenu notamment des arguments du recourant, si l’on est effectivement en présence d’un faux.</w:t>
      </w:r>
    </w:p>
    <w:p>
      <w:r>
        <w:rPr>
          <w:b/>
        </w:rPr>
        <w:t>E. 3</w:t>
      </w:r>
    </w:p>
    <w:p>
      <w:r>
        <w:t>Au vu de ce qui précède, le recours, manifestement mal fondé, doit être rejeté sans échange d’écritures (art. 390 al. 2 CPP) et l’ordonnance de séquestre du 27 août 2019 confirmée. Les frais de la procédure de recours, constitués en l’espèce du seul 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27 août 2019 est confirmée. III. Les frais d’arrêt, par 660 fr. (six cent soixante francs), sont mis à la charge du recourant. IV. L’arrêt est exécutoire. Le président :               La greffière : Du Le présent arrêt, dont la rédaction a été approuvée à huis clos, est notifié, par l'envoi d'une copie complète, à : - A.________, - Ministère public central, et communiqué à :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