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798 vom 24. September 2019</w:t>
      </w:r>
    </w:p>
    <w:p>
      <w:r>
        <w:t>VD Tribunal cantonal, 2019-09-24, FR</w:t>
      </w:r>
    </w:p>
    <w:p>
      <w:r>
        <w:rPr>
          <w:b/>
        </w:rPr>
        <w:t xml:space="preserve">Quelle: </w:t>
      </w:r>
      <w:r>
        <w:t>https://mcp.opencaselaw.ch/entscheid/vd_findinfo_D_cision___2019___798</w:t>
      </w:r>
    </w:p>
    <w:p>
      <w:r>
        <w:t>FR: VD_FINDINFO Décision / 2019 / 798 du 24 septembre 2019</w:t>
      </w:r>
    </w:p>
    <w:p>
      <w:r>
        <w:t>IT: VD_FINDINFO Décision / 2019 / 798 del 24 settembre 2019</w:t>
      </w:r>
    </w:p>
    <w:p>
      <w:pPr>
        <w:pStyle w:val="Heading2"/>
      </w:pPr>
      <w:r>
        <w:t>Regeste</w:t>
      </w:r>
    </w:p>
    <w:p>
      <w:r>
        <w:t>ORDONNANCE DE SÉQUESTRE, SÉQUESTRE{MESURE PROVISIONNELLE}, ABUS DE CONFIANCE, GESTION DÉLOYALE, IMMEUBLE, REMPLOI, CRÉANCE, INTÉRÊT JURIDIQUEMENT PROTÉGÉ | 70 CP, 71 CP, 263 al. 1 let. d CPP (CH), 382 al. 1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 Lembo/Julen Berthod, in : Kuhn/Jeanneret [éd.], Commentaire romand, Code de procédure pénale suisse, Bâle 2011, n. 4 ad art. 267 CPP). Ce recours s’exerce par écrit dans les dix jours devant l’autorité de recours (art. 396 al.</w:t>
      </w:r>
    </w:p>
    <w:p>
      <w:r>
        <w:rPr>
          <w:b/>
        </w:rPr>
        <w:t>E. 1.2</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L’intérêt doit donc être personnel (Juge unique CREP 29 août 2019/702 consid. 1.2 ; Juge unique CREP 5 février 2019/89 consid. 2.1 ; CREP 19 janvier 2016/31 consid. 1.2 et les références citées).</w:t>
      </w:r>
    </w:p>
    <w:p>
      <w:r>
        <w:rPr>
          <w:b/>
        </w:rPr>
        <w:t>E. 1.3</w:t>
      </w:r>
    </w:p>
    <w:p>
      <w:r>
        <w:t>En l’espèce, le recours interjeté par Q.________ l’a été dans le délai légal auprès de l’autorité compétente et dans les formes prescrites (art. 385 al. 1 CPP), par la prévenue propriétaire des immeubles séquestrés, qui a donc un intérêt juridique à l’annulation ou à la modification de l’ordonnance entreprise (art. 382 al. 1 CPP), de sorte qu’il est recevable. Quant au recours de M.________, il a également été formé en temps utile auprès de l’autorité compétente et dans les formes prescrites (art. 385 al. 1 CPP), par une partie dont le patrimoine est grevé du séquestre s’agissant des immeubles « lots n° B-14 et B-34 et de deux places de parking intérieures » sis au chemin [...] à [...], dont il est copropriétaire, de sorte qu’il est recevable dans cette mesure. Cependant, le recours de M.________ doit être déclaré irrecevable en tant qu’il porte sur le séquestre des immeubles « lots n° A-09 et B-28 et d’une place de parking extérieure » sis au chemin [...] à [...], dont son épouse est seule propriétaire, M.________ n’ayant pas d’intérêt juridique à l’annulation ou à la modification de l’ordonnance attaquée (art. 382 al. 1 CPP), et ce quel que soit le régime matrimonial adopté par le couple. Vu leur connexité et l’identité de leurs conclusions, il sera statué sur les deux recours dans le même arrêt.</w:t>
      </w:r>
    </w:p>
    <w:p>
      <w:r>
        <w:rPr>
          <w:b/>
        </w:rPr>
        <w:t>E. 2.1</w:t>
      </w:r>
    </w:p>
    <w:p>
      <w:r>
        <w:t>Invoquant une violation de leur droit d’être entendus, les recourants font grief à la Procureure d’avoir mentionné, dans les faits qui leur étaient reprochés, un préjudice total de 594'508 fr. 40, sans autre explication quant à l’origine de ce montant. Ils lui reprochent d’avoir repris le montant litigieux d’un courrier adressé le 15 janvier 2019 par le conseil des parties plaignantes au Ministère public, qui ne leur aurait pas été notifié et dont mention serait inexistante dans l’ordonnance querellée. Ils soutiennent qu’ils auraient ainsi été privés de la possibilité d’être entendus par le Ministère public sur ce point et du droit d’être informés des faits retenus à leur charge, ainsi que du droit à recevoir une décision motivée. Ils reprochent en outre à la Procureure de ne pas leur avoir notifié la requête de séquestre du 3 juillet 2019.</w:t>
      </w:r>
    </w:p>
    <w:p>
      <w:r>
        <w:rPr>
          <w:b/>
        </w:rPr>
        <w:t>E. 2.2</w:t>
      </w:r>
    </w:p>
    <w:p>
      <w:r>
        <w:t>La jurisprudence déduit du droit d’être entendu, garanti par l’art. 29 al. 2 Cst. (Constitution fédérale de la Confédération suisse du 18 avril 1999 ; RS 101), notamment le droit de s’exprimer avant qu’une décision ne soit prise, celui d’avoir accès au dossier, de participer à l’administration des preuves, d’en prendre connaissance et de se déterminer à leur propos (ATF 135 I 187 consid. 2.2 ; ATF 129 II 497 consid. 2.2). Le droit d’être entendu comporte aussi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143 III 65 précité ; ATF 142 III 433 consid. 4.3.2 ; TF 6B_946/2018 du 15 novembre 2018 consid. 1.1). Le droit d'être entendu est une garantie constitutionnelle de caractère formel, dont la violation doit entraîner l'annulation de la décision, indépendamment des chances de succès du recours sur le fond (ATF 135 I 187 précité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ATF 133 I 201 consid. 2.2 ; TF 6B_868/2016 du 9 juin 2017 consid. 3). S’agissant en particulier du séquestre, la spécificité de cette mesure de contrainte impose d’agir vite et de retenir certaines informations afin de garantir un effet de surprise permettant une bonne exécution celle-ci. Le Ministère public n’est donc pas tenu de recueillir les déterminations du prévenu ou d’un tiers avant d’ordonner une telle mesure (CREP 26 août 2016/568 consid. 2.3). En outre, la jurisprudence admet que certaines mesures y afférentes, notamment un arrêt admettant un séquestre, ne soient pas notifiées au prévenu aux fins de ne pas compromettre l’effet de surprise indispensable à sa mise en œuvre (CREP 17 août 2018/629 consid. 4 et les références citées).</w:t>
      </w:r>
    </w:p>
    <w:p>
      <w:r>
        <w:rPr>
          <w:b/>
        </w:rPr>
        <w:t>E. 2.3</w:t>
      </w:r>
    </w:p>
    <w:p>
      <w:r>
        <w:t>En l’espèce, la Cour de céans ne distingue aucune violation du droit d’être entendu des recourants. En effet, conformément à la jurisprudence précitée, le Ministère public n’était pas tenu de recueillir les déterminations des prévenus, ni de leur notifier les requêtes de séquestre des 15 janvier et 3 juillet 2019. A cet égard, il y a lieu de relever que le courrier adressé le 15 janvier 2019 par les parties plaignantes au Ministère public a néanmoins été communiqué aux défenseurs des prévenus par le conseil des plaignantes. De même, l’ordonnance de refus de séquestre du 26 mars 2019 a été notifiée aux recourants et aucune restriction d’accès au dossier n’a été ordonnée. S’agissant par ailleurs du préjudice de 594'508 fr. 40 retenu par la Procureure dans l’ordonnance attaquée, force est de constater que le détail de ce montant ressort clairement du considérant 2.3 de l’arrêt rendu par la Chambre des recours pénale le 30 avril 2019, qui a été notifié aux recourants. Ceux-ci avaient dès lors amplement la possibilité par la suite de prendre position sur ce point. Partant, ce grief doit être rejeté.</w:t>
      </w:r>
    </w:p>
    <w:p>
      <w:r>
        <w:rPr>
          <w:b/>
        </w:rPr>
        <w:t>E. 3</w:t>
      </w:r>
    </w:p>
    <w:p>
      <w:r>
        <w:t>CP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en revanche, comme on l’a vu, l'existence d'un tel rapport (ATF 140 IV 57 précité et les références citées ; ATF 129 II 453 consid. 4.1). Le mélange de valeurs délictueuses avec des fonds de provenance licite sur un compte bancaire ne suffit pas à exclure toute confiscation directe si un lien de connexité peut être établi entre le compte et l'infraction poursuivie (« Paper trail ») ; le recours à une créance compensatrice n'est nécessaire que si le mouvement des valeurs ne peut pas être identifié (ATF 126 I 97 consid. 3c/bb ; TF 1B_22/2017 du 24 mars 2017 consid. 2 et les références citées ; TF 6B_180/2016 du 28 octobre 2016 consid. 4.4.1 ; CREP 6 septembre 2019/729 consid. 2.5.2).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141 IV 360 consid. 3.2 ; ATF 140 IV 57 précité ; ATF 139 IV 250 précité et les références citées). L'autorité doit pouvoir décider rapidement du séquestre (cf. art. 263 al. 2 CPP), ce qui exclut qu'elle résolve des questions juridiques complexes ou qu'elle attende d'être renseignée de manière exacte et complète sur les faits avant d'agir (ATF 140 IV 57 précité ; ATF 116 Ib 96 consid. 3a).</w:t>
      </w:r>
    </w:p>
    <w:p>
      <w:r>
        <w:rPr>
          <w:b/>
        </w:rPr>
        <w:t>E. 3.1.1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S’agissant en particulier du séquestre en vue de confiscation, prévu par l’art.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 subsister (ATF 140 IV 57 consid. 4.1.1 ; ATF 139 IV 250 consid. 2.1 ; ATF 137 IV 145 consid. 6.4 et les références citées). 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140 IV 57 précité ; ATF 139 IV 209 consid. 5.3 et les références citées).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(ATF 140 IV 57 précité et les références citées). Si le produit de l’infraction consiste dans une valeur, comme des espèces, et que cette valeur a été utilisée pour acquérir une chose, cette dernière chose, qui incorpore désormais la valeur provenant de l’infraction, peut être confisquée (cas du remploi proprement dit). Si la valeur est utilisée pour en acquérir une autre, du même genre (cas du remploi improprement dit), les valeurs ainsi acquises pourront être confisquées si le mouvement des valeurs peut être reconstitué de manière à établir leur lien avec l’infraction (Dupuis et al. [éd.], Commentaire du Code pénal, 2 e éd., Bâle 2017, n. 8 ad art. 70 CP et les références citées).</w:t>
      </w:r>
    </w:p>
    <w:p>
      <w:r>
        <w:rPr>
          <w:b/>
        </w:rPr>
        <w:t>E. 3.1.2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 mesure est d'éviter que celui qui a disposé des objets ou valeurs à confisquer soit privilégié par rapport à celui qui les a conservés (ATF 140 IV 57 précité consid. 4.1.2 ; ATF 129 IV 107 consid. 3.2 ; ATF 123 IV 70 consid. 3) ; elle ne joue qu'un rôle de substitution de la confiscation en nature et ne doit donc, par rapport à celle-ci, engendrer ni avantage ni inconvénient (ATF 140 IV 57 précité ; ATF 124 I 6 consid. 4b/bb ; ATF 123 IV 70 précité). En raison de son caractère subsidiaire, la créance compensatrice ne peut être ordonnée que si, dans l'hypothèse où les valeurs patrimoniales auraient été disponibles, la confiscation eût été prononcée : elle est alors soumise aux mêmes conditions que cette mesure (ATF 140 IV 57 précité et les références citées). Néanmoins, un lien de connexité entre les valeurs saisies et l'infraction commise n'est pas requis (ATF 140 IV 57 précité ; ATF 133 IV 215 consid. 2.2.1). Le Code de procédure pénale ne prévoit pas expressément, ainsi qu'il le fait pour le séquestre en vue de la confiscation (art. 263 al. 1 let. d CPP), de disposition permettant le séquestre en vue de garantir une créance compensatrice. Il n'est pas nécessaire de déterminer si une telle mesure pourrait être déduite de cette disposition. L'art. 71 al.</w:t>
      </w:r>
    </w:p>
    <w:p>
      <w:r>
        <w:rPr>
          <w:b/>
        </w:rPr>
        <w:t>E. 3.2</w:t>
      </w:r>
    </w:p>
    <w:p>
      <w:r>
        <w:t>Commet un abus de confiance, au sens de l'art. 138 ch. 1 al. 2 CP, celui qui, sans droit, aura employé à son profit ou au profit d'un tiers des valeurs patrimoniales qui lui avaient été confiées. Sur le plan objectif, l'infraction à l'art. 138 ch. 1 al. 2 CP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ATF 119 IV 127 consid. 2 ; TF 6B_717/2018 du 10 septembre 2018 ; TF 6B_1383/2016 du 16 mai 2018 consid. 1.1). Du point de vue subjectif, l'auteur doit avoir agi intentionnellement et dans un dessein d'enrichissement illégitime, lequel peut être réalisé par dol éventuel (ATF 118 IV 32 consid. 2a).</w:t>
      </w:r>
    </w:p>
    <w:p>
      <w:r>
        <w:rPr>
          <w:b/>
        </w:rPr>
        <w:t>E. 3.3</w:t>
      </w:r>
    </w:p>
    <w:p>
      <w:r>
        <w:t>L'art. 158 CP, qui réprime la gestion déloyale,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 il faut que l'auteur ait eu une position de gérant, qu'il ait violé une obligation lui incombant en cette qualité, qu'il en soit résulté un dommage et qu'il ait agi intentionnellement (ATF 120 IV 190 consid. 2b). Dans sa forme aggravée, il faut encore que l'auteur ait agi dans un dessein d'enrichissement illégitime.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 ATF 120 IV 190 précité). Le devoir de gestion et de sauvegarde entraîne l’obligation d’accomplir des actes matériels ou juridiques, en particulier des actes tendant à la défense des intérêts pécuniaires d’autrui (TF 6B_845/2014 du 16 mars 2015 consid. 3.1 ; Corboz, Les infractions en droit suisse, vol. I, 3 e éd., Berne 2010, nn. 5 et 6 ad art. 158 CP). Pour qu’il y ait gestion déloyale, il faut que le gérant ait violé une obligation liée à la gestion confiée (ATF 123 IV 17 précité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6B_819/2018 du 25 janvier 2019 consid. 3.2 ; TF 6B_688/2014 du 22 décembre 2017 consid. 13.1.2 ; TF 6B_845/2014 précité consid. 3.2 et les références citées).</w:t>
      </w:r>
    </w:p>
    <w:p>
      <w:r>
        <w:rPr>
          <w:b/>
        </w:rPr>
        <w:t>E. 4.1</w:t>
      </w:r>
    </w:p>
    <w:p>
      <w:r>
        <w:t>Les recourants invoquent un défaut de connexité entre les fonds utilisés pour l’achat des immeubles séquestrés et les prétendus prélèvements illicites. Ils soutiennent sur ce point que les fonds en cause proviendraient de la vente en Chine d’un bien appartenant à la mère de la prévenue et produisent à cet égard des copies d’actes concernant des immeubles en Chine et en Suisse.</w:t>
      </w:r>
    </w:p>
    <w:p>
      <w:r>
        <w:rPr>
          <w:b/>
        </w:rPr>
        <w:t>E. 4.2</w:t>
      </w:r>
    </w:p>
    <w:p>
      <w:r>
        <w:t>Dans son arrêt du 30 avril 2019 (n° 356), la Chambre des recours pénale a considéré qu’il existait des soupçons suffisants qui laissaient présumer la commission, par les prévenus, d’abus de confiance ou d’actes de gestion déloyale au détriment des sociétés plaignantes. A cet égard, il a été relevé que les prévenus n’avaient pas contesté avoir bénéficié de compléments de salaire à hauteur de 230'400 fr., prétendant toutefois que les prélèvements correspondants auraient été autorisés, ce qui n’était corroboré par aucun élément du dossier, leurs décomptes et certificats de salaire pour la période considérée ainsi que l’audition d’un témoin allant au contraire dans le sens d’un salaire mensuel brut de 3'500 fr., et non de 6'000 francs. En outre, les prévenus n’étaient pas parvenus à expliquer les versements indus et les transactions suspectes depuis ou vers leurs comptes BCV, en particulier depuis les comptes des plaignantes, ni a fortiori à étayer les prétendues créances, invoquées en compensation, qu’ils détiendraient à l’encontre de celles-ci. La Chambre des recours pénale a également relevé les liens évidents entre les actes incriminés et tous les comptes bancaires des prévenus, qui avaient certainement pu tirer profit des malversations qui leur étaient reprochées. Il était ainsi manifeste qu’au vu des montants en cause, lesquels devaient en l’état être tenus pour soustraits, pour un total de 594'508 fr. 40, il était nécessaire de préserver les valeurs demeurées en mains des prévenus, dans la mesure où ces avoirs pouvaient devoir être restitués aux plaignantes ou confisqués.</w:t>
      </w:r>
    </w:p>
    <w:p>
      <w:r>
        <w:rPr>
          <w:b/>
        </w:rPr>
        <w:t>E. 4.3</w:t>
      </w:r>
    </w:p>
    <w:p>
      <w:r>
        <w:t>Se fondant sur l’arrêt de la Chambre des recours pénale, la Procureure a conclu que le dossier révélait l’existence de soupçons suffisants laissant présumer la commission des infractions d’abus de confiance ou de gestion déloyale au détriment des plaignantes, soulignant qu’il apparaissait que les importantes sommes perçues sur les comptes des prévenus et sur ceux de la mère de la prévenue avaient directement servi à acquérir les immeubles concernés dans les mois qui avaient suivi.</w:t>
      </w:r>
    </w:p>
    <w:p>
      <w:r>
        <w:rPr>
          <w:b/>
        </w:rPr>
        <w:t>E. 4.4</w:t>
      </w:r>
    </w:p>
    <w:p>
      <w:r>
        <w:t>En l’espèce, comme l’a retenu à juste titre le Ministère public, il existe manifestement des soupçons suffisants laissant présumer la commission par les prévenus d’un abus de confiance ou d’actes de gestion déloyale au préjudice des sociétés plaignantes, ce que les prévenus ne contestent au demeurant pas. En outre, à ce stade et sous l’angle de la vraisemblance, l’on doit admettre un lien de connexité, par remploi, entre les fonds soustraits durant la période s’étendant entre 2010 et 2014 et les immeubles acquis depuis 2016. Il y a en effet lieu de relever que les explications des recourants sur la provenance des fonds ayant permis ces achats sont extrêmement sommaires et qu’elles ne sont pas documentées, à l’exception d’une pièce rédigée en mandarin qui n’est pas compréhensible, de sorte que l’apparence du lien de connexité s’en trouve encore renforcée. Ainsi, il existe, au stade de la vraisemblance, des présomptions suffisantes que l’achat des immeubles propriétés des prévenus a bien été financé par le produit des infractions envisagées. Or, un bien acquis en remploi du produit de l’infraction est susceptible d’être séquestré en application de l’art. 263 al. 1 let. d CPP, de sorte que le séquestre se justifie déjà en application de cette disposition. Au demeurant, par surabondance, et bien que ce motif n’ait pas été retenu par la Procureure dans l’ordonnance attaquée (cf. CREP 17 juillet 2015 consid. 2.3.2), l’on devrait dans tous les cas admettre, à ce stade de l’enquête, que le séquestre se justifierait également pour garantir l’exécution d’une créance compensatrice. A cet égard, la Chambre des recours pénale avait, dans son arrêt du 30 avril 2019 (n° 356), retenu qu’on ne discernait pas en quoi les séquestres porteraient par principe atteinte au minimum vital des prévenus, qui étaient en mesure d’exercer une activité lucrative soutenue, comme ils le faisaient depuis plusieurs années ; les recourants n’ont pas allégué qu’ils seraient désormais privés des moyens minimaux permettant d’assurer leur subsistance (cf. art. 268 al. 3 CPP). Pour ces motifs, ce grief doit être rejeté.</w:t>
      </w:r>
    </w:p>
    <w:p>
      <w:r>
        <w:rPr>
          <w:b/>
        </w:rPr>
        <w:t>E. 4.5</w:t>
      </w:r>
    </w:p>
    <w:p>
      <w:r>
        <w:t>Les recourants n’invoquent pas une violation du principe de la proportionnalité. Ils font cependant valoir qu’ils ne seraient pas propriétaires de l’immeuble mentionné au chiffre IV du dispositif de l’ordonnance entreprise, cet achat, envisagé dans un premier temps, ne s’étant finalement pas concrétisé. A cet égard, il apparaît que les séquestres ordonnés respectent le principe de la proportionnalité, dans la mesure où ils sont non seulement justifiés sur le principe, mais également quant à leur étendue, compte tenu du montant élevé qui pourrait avoir été soustrait par les recourants. Il y a toutefois lieu de prendre acte, au vu de la décision rendue par la Conservatrice du Registre foncier de La Veveyse le 29 août 2019 (P. 88/1), du fait que les recourants et/ou la mère de la prévenue ne sont pas – et n’ont jamais été – propriétaires de l’appartement n° C-50 et d’une place de parc intérieure sis à la route [...] à [...], de sorte que le séquestre ne peut pas porter sur ce bien-fonds. Au vu de ce qui précède, les recours doivent être admis en tant qu’ils portent sur la suppression du chiffre IV et la modification du chiffre V de l’ordonnance litigieuse.</w:t>
      </w:r>
    </w:p>
    <w:p>
      <w:r>
        <w:rPr>
          <w:b/>
        </w:rPr>
        <w:t>E. 5</w:t>
      </w:r>
    </w:p>
    <w:p>
      <w:r>
        <w:t>En définitive, les recours doivent être partiellement admis dans la mesure où ils sont recevables (cf. consid. 1.3 supra s’agissant du recours de M.________) et l’ordonnance entreprise réformée dans le sens des considérants qui précèdent. Les recourants succombent dans une très large mesure et n’obtiennent gain de cause que sur un point marginal – soit uniquement sur le fait qu’ils ne sont pas propriétaires de l’un des immeubles grevé du séquestre –, de sorte qu’il apparaît équitable de considérer qu’ils ont succombé sur l’essentiel et de mettre à leur charge l’entier des frais de la procédure de recours (art. 428 al. 1 CPP), qui sont en l’espèce constitués du seul émolument d’arrêt, par 1’870 fr. (art. 20 al. 1 TFIP [Tarif des frais de procédure et indemnités en matière pénale du 28 septembre 2010 ; BLV 312.03.1), la question de leur intérêt à recourir contre le séquestre d’un bien-fonds dont ils ne sont pas propriétaires restant au demeurant ouverte. Les intimées, qui ont procédé en commun avec l’assistance d’un avocat de choix et qui ont obtenu gain de cause, ont droit, de la part des recourants solidairement entre eux, à une pleine indemnité pour les dépenses occasionnées par la procédure de recours (art. 433 al. 1 CPP). Au vu du mémoire produit, cette indemnité sera fixée à 1’800 fr., correspondant à six heures d’activité d’avocat au tarif horaire de 300 fr. (art. 26a al. 3 TFIP), montant auquel il convient d’ajouter des débours forfaitaires à concurrence de 2 % (art. 19 al. 2 TDC [Tarif des dépens en matière civile du 23 novembre 2010 ; BLV 270.11.6], applicable par renvoi de l’art. 26a al. 6 TFIP), par 36 fr., ainsi que la TVA, par 141 fr. 35. C’est donc une indemnité de 1'977 fr. 35 au total qui sera versée par Q.________ et M.________, solidairement entre eux, à Z.________ SA et V.________ SA. Par ces motifs, la Chambre des recours pénale prononce : I. Le recours de Q.________ est partiellement admis. II. Le recours de M.________ est partiellement admis dans la mesure où il est recevable. III. L’ordonnance du 2 août 2019 est réformée aux chiffres IV et V de son dispositif comme suit : « IV. supprimé. V. requiert du Conservateur du Registre foncier de La Veveyse/FR d’inscrire, sans frais, une restriction du droit d’aliéner sur le bien-fonds mentionné sous ch. III ci-dessus. » L’ordonnance est confirmée pour le surplus. IV. Les frais d’arrêt, par 1’870 fr. (mille huit cent septante francs), sont mis à la charge de Q.________ et de M.________, par moitié chacun et solidairement entre eux. V. Une indemnité de 1'977 fr. 35 (mille neuf cent septante-sept francs et trente-cinq centimes) est allouée à Z.________ SA et V.________ SA, solidairement entre elles, pour la procédure de recours, à la charge de Q.________ et de M.________, solidairement entre eux. VI. L’arrêt est exécutoire. Le président :               La greffière : Du Le présent arrêt, dont la rédaction a été approuvée à huis clos, est notifié, par l'envoi d'une copie complète, à : - Me Jacques Bonfils, avocat (pour Q.________), - Me Marc Ursenbacher, avocat (pour M.________), - Me Marc Henzelin, avocat (pour Z.________ SA et V.________ SA), - Mme X.________, - Registre foncier de Monthey/VS, - Registre foncier de La Veveyse/FR,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