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777 vom 5. September 2019</w:t>
      </w:r>
    </w:p>
    <w:p>
      <w:r>
        <w:t>VD Tribunal cantonal, 2019-09-05, FR</w:t>
      </w:r>
    </w:p>
    <w:p>
      <w:r>
        <w:rPr>
          <w:b/>
        </w:rPr>
        <w:t xml:space="preserve">Quelle: </w:t>
      </w:r>
      <w:r>
        <w:t>https://mcp.opencaselaw.ch/entscheid/vd_findinfo_D_cision___2019___777</w:t>
      </w:r>
    </w:p>
    <w:p>
      <w:r>
        <w:t>FR: VD_FINDINFO Décision / 2019 / 777 du 5 septembre 2019</w:t>
      </w:r>
    </w:p>
    <w:p>
      <w:r>
        <w:t>IT: VD_FINDINFO Décision / 2019 / 777 del 5 settembre 2019</w:t>
      </w:r>
    </w:p>
    <w:p>
      <w:pPr>
        <w:pStyle w:val="Heading2"/>
      </w:pPr>
      <w:r>
        <w:t>Regeste</w:t>
      </w:r>
    </w:p>
    <w:p>
      <w:r>
        <w:t>DÉFENSE D'OFFICE | 132 CPP (CH)</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de la police, du ministère public et des autorités pénales compétentes en matière de contraventions. Une ordonnance du ministère public refusant de désigner un défenseur d’office au prévenu est ainsi susceptible de recours selon les art. 393 ss CPP, dans la mesure où un tel refus est de nature à causer un préjudice irréparable à l’intéressé (ATF 140 IV 202 consid. 2.2, SJ 2015 I 73 ; ATF 139 IV 113, JdT 2014 IV 30 ; Moreillon/Parein-Reymond, Code de procédure pénale, Petit commentaire, 2 e éd., Bâle 2016, n. 18 ad art. 132 CPP). Ce recours s’exerce par écrit, dans un délai de dix jours dès la notification de la décision attaquée (art. 384 let. b CPP), auprès de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dans le délai légal auprès de l’autorité compétente, par un prévenu qui a qualité pour recourir (art. 382 al. 1 CPP), le recours de E.________, en tant qu’il concerne le refus de lui désigner un défenseur d’office, est recevable. En revanche, il est irrecevable en tant que l’intéressé conteste son incarcération, aucune décision relative à sa détention n’ayant été rendue dans le cadre de la présente affaire.</w:t>
      </w:r>
    </w:p>
    <w:p>
      <w:r>
        <w:rPr>
          <w:b/>
        </w:rPr>
        <w:t>E. 2.1</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consid. 2.5.1). La deuxième condition s'interprète à l'aune des critères mentionnés à l'art. 132 al. 2 et 3 CPP. A teneur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Selon la jurisprudence,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143 I 164 consid. 3.5 ; ATF 128 I 225 consid. 2.5.2 ; TF 1B_93/2018 du 29 mai 2018 consid. 3.1). En revanche, dans les « cas bagatelle » – soit, selon le Tribunal fédéral, ceux dans lesquels il ne risque qu'une peine de courte durée ou une amende –, le prévenu n'a pas, même s'il est indigent, de droit constitutionnel à la désignation d'un défenseur d'office gratuit (ATF 143 I 164 précité ; TF 1B_93/2018 du 29 mai 2018 précité ; Harari/Aliberti, op. cit., n. 67 ad art. 132 CPP).</w:t>
      </w:r>
    </w:p>
    <w:p>
      <w:r>
        <w:rPr>
          <w:b/>
        </w:rPr>
        <w:t>E. 2.2</w:t>
      </w:r>
    </w:p>
    <w:p>
      <w:r>
        <w:t>En l’espèce, le recourant est certes actuellement en détention, mais exécute une peine privative de liberté à laquelle il a été condamné dans le cadre d’une autre affaire (cf. P. 5). Il n’est donc pas détenu dans le cadre de la présente cause, pour laquelle il est prévenu de lésions corporelles simples, dommages à la propriété et violence ou menace contre les autorités et les fonctionnaires. Les faits sont simples et les infractions en cause ne sont pas complexes à appréhender d’un point de vue juridique. Au vu de ses antécédents, il est vrai qu’en cas de condamnation, E.________ risque une peine privative de liberté ferme. Toutefois, celle-ci sera nécessairement inférieure à quatre mois, minimum légal permettant de considérer que l’affaire n’est pas de peu de gravité. Dans ces conditions, il n’est pas nécessaire d’instruire le point de savoir si le recourant ne dispose pas des moyens nécessaires au sens de la jurisprudence (TF 1B_347/2018 du 10 janvier 2019 consid. 3.1). Au vu de ce qui précède, les conditions prévues à l’art. 132 al. 1 let. b CPP n’apparaissent pas réalisées. C’est donc à bon droit que le Ministère public a refusé de nommer un défenseur d’office au recourant.</w:t>
      </w:r>
    </w:p>
    <w:p>
      <w:r>
        <w:rPr>
          <w:b/>
        </w:rPr>
        <w:t>E. 3</w:t>
      </w:r>
    </w:p>
    <w:p>
      <w:r>
        <w:t>En définitive, le recours, manifestement mal fondé, doit être rejeté sans échange d’écritures (art. 390 al. 2 CPP), dans la mesure de sa recevabilité (cf. consid. 1. 2 supra ), et l’ordonnance entreprise confirmée. Les frais de la procédure de recours, constitués en l’espèce du seul émolument d’arrêt, par 550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15 août 2019 est confirmée. III. Les frais d’arrêt, par 550 fr. (cinq cent cinquante francs), sont mis à la charge de E.________. IV. L’arrêt est exécutoire. Le président : La greffière : Du Le présent arrêt, dont la rédaction a été approuvée à huis clos, est notifié, par l'envoi d'une copie complète, à : - M. E.________, - Ministère public central, et communiqué à : - M. le Procureur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