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776 vom 18. September 2019</w:t>
      </w:r>
    </w:p>
    <w:p>
      <w:r>
        <w:t>VD Tribunal cantonal, 2019-09-18, FR</w:t>
      </w:r>
    </w:p>
    <w:p>
      <w:r>
        <w:rPr>
          <w:b/>
        </w:rPr>
        <w:t xml:space="preserve">Quelle: </w:t>
      </w:r>
      <w:r>
        <w:t>https://mcp.opencaselaw.ch/entscheid/vd_findinfo_D_cision___2019___776</w:t>
      </w:r>
    </w:p>
    <w:p>
      <w:r>
        <w:t>FR: VD_FINDINFO Décision / 2019 / 776 du 18 septembre 2019</w:t>
      </w:r>
    </w:p>
    <w:p>
      <w:r>
        <w:t>IT: VD_FINDINFO Décision / 2019 / 776 del 18 settembre 2019</w:t>
      </w:r>
    </w:p>
    <w:p>
      <w:pPr>
        <w:pStyle w:val="Heading2"/>
      </w:pPr>
      <w:r>
        <w:t>Regeste</w:t>
      </w:r>
    </w:p>
    <w:p>
      <w:r>
        <w:t>DÉTENTION POUR DES MOTIFS DE SÛRETÉ, RISQUE DE RÉCIDIVE, PROPORTIONNALITÉ, SOUPÇON, VIOLENCE DOMESTIQUE, MESURE DE SUBSTITUTION À LA DÉTENTION | 212 al. 3 CPP (CH), 221 al. 1 let. c CPP (CH), 221 al. 2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382 al. 1 CPP) et dans les formes prescrites (art. 385 al. 1 CPP), le recours est recevable.</w:t>
      </w:r>
    </w:p>
    <w:p>
      <w:r>
        <w:rPr>
          <w:b/>
        </w:rPr>
        <w:t>E. 2</w:t>
      </w:r>
    </w:p>
    <w:p>
      <w:r>
        <w:t>CPP).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L’art. 229 al. 1 CPP prévoit que, sur demande écrite du ministère public, le tribunal des mesures de contrainte statue sur la détention pour des motifs de sûreté lorsqu'elle fait suite à une détention provisoire.</w:t>
      </w:r>
    </w:p>
    <w:p>
      <w:r>
        <w:rPr>
          <w:b/>
        </w:rPr>
        <w:t>E. 3.1</w:t>
      </w:r>
    </w:p>
    <w:p>
      <w:r>
        <w:t>Le recourant conteste la forte présomption de culpabilité retenue par le Tribunal des mesures de contrainte s’agissant des infractions qui lui sont reprochées, pour lesquelles il clame son innocence.</w:t>
      </w:r>
    </w:p>
    <w:p>
      <w:r>
        <w:rPr>
          <w:b/>
        </w:rPr>
        <w:t>E. 3.2</w:t>
      </w:r>
    </w:p>
    <w:p>
      <w:r>
        <w:t>La mise respectivement le maintien en détention provisoire ou en détention pour des motifs de sûreté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Il doit ainsi exister des charges suffisantes à l’égard de l’intéressé, soit de sérieux soupçons de culpabilité,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Jugendstrafprozess-ordnung, 2 e éd., Bâle 2014, n. 3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 ATF 137 IV 122 consid. 3.2 ; TF 1B_372/2017 du 26 septembre 2017 consid. 2.1 ; Schmocker, op. cit., n. 8 ad art. 221 CPP). En d’autres termes, les soupçons doivent se renforcer plus l’instruction avance et plus l’issue du jugement au fond approche (TF 1B_344/2017 du 20 septembre 2017 consid. 4.1 et la réf. citée).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(ATF 140 III 610 consid. 4.1 ; TF 1B_157/2018 du 26 avril 2018 consid. 3.1 et la réf. citée).</w:t>
      </w:r>
    </w:p>
    <w:p>
      <w:r>
        <w:rPr>
          <w:b/>
        </w:rPr>
        <w:t>E. 3.3</w:t>
      </w:r>
    </w:p>
    <w:p>
      <w:r>
        <w:t>En l'espèce, aucun élément nouveau à décharge n'étant intervenu depuis lors, la Chambre de céans se réfère à son arrêt du 8 avril 2019 (n o 277,  consid. 3.2) dans lequel l’existence de soupçons suffisants à l’encontre du prévenu a été retenue, qui conserve toute sa pertinence et suffit encore à justifier la détention à ce stade de la procédure. Force est de constater que le grief du recourant est infondé et doit être rejeté.</w:t>
      </w:r>
    </w:p>
    <w:p>
      <w:r>
        <w:rPr>
          <w:b/>
        </w:rPr>
        <w:t>E. 4.1</w:t>
      </w:r>
    </w:p>
    <w:p>
      <w:r>
        <w:t>Le recourant conteste le risque de réitération. Il fait valoir que son amie aurait résilié le bail de leur logement commun et qu’elle serait en outre actuellement hospitalisée, en un lieu inconnu de lui, de sorte qu’il lui serait impossible d’entrer en contact avec elle.</w:t>
      </w:r>
    </w:p>
    <w:p>
      <w:r>
        <w:rPr>
          <w:b/>
        </w:rPr>
        <w:t>E. 4.2.1</w:t>
      </w:r>
    </w:p>
    <w:p>
      <w:r>
        <w:t>En vertu de l'art. 221 al. 1 let. c CPP, la détention provisoire ou la détention pour des motifs de sûreté peuvent être ordonnées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3.2 ;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1B_3/2019 du 17 janvier 2019 consid. 3.1).</w:t>
      </w:r>
    </w:p>
    <w:p>
      <w:r>
        <w:rPr>
          <w:b/>
        </w:rPr>
        <w:t>E. 4.2.2</w:t>
      </w:r>
    </w:p>
    <w:p>
      <w:r>
        <w:t>L'art. 221 al. 2 CPP permet d'ordonner la détention lorsqu'il y a lieu de craindre un passage à l'acte, même en l'absence de toute infraction préalable. Il doit s'agir d'un crime grave et non seulement d'un délit (ATF 137 IV 122 consid. 5, JdT 2012 IV 79).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ATF 137 IV 122 consid. 5, JdT 2012 IV 79). Plus l'infraction redoutée est grave, plus la mise en détention se justifie lorsque les éléments disponibles ne permettent pas une évaluation précise de ce risque (ATF 140 IV 19 consid. 2.1.1 ; TF 6B_446/2015 du 19 janvier 2016 consid. 2.1 ; CREP 13 mars 2019/195).</w:t>
      </w:r>
    </w:p>
    <w:p>
      <w:r>
        <w:rPr>
          <w:b/>
        </w:rPr>
        <w:t>E. 4.3</w:t>
      </w:r>
    </w:p>
    <w:p>
      <w:r>
        <w:t>En l’espèce, dans ses précédentes ordonnances, le Tribunal des mesures de contrainte a retenu un risque de récidive, voire de passage à l’acte, en raison du passé de violences du recourant – quatre condamnations entre 2012 et 2017 pour violence ou menace contre les autorités et les fonctionnaires, rixe, lésions corporelles simples, lésions corporelles simples qualifiées, extorsion et chantage, brigandage et brigandage en bande, ainsi que ses condamnations alors qu’il était mineur – et de la durée des violences exercées contre l’amie du recourant. Ces éléments, pertinents, sont toujours d’actualité, d’autant que le recourant a refusé de soumettre à l’expertise psychiatrique ordonnée, qui aurait pu apporter d’autres éléments depuis les dernières décisions. Le recourant paraît avoir régulièrement battu son amie pendant une année. En outre, il ne semble pas avoir renoncé à sa relation avec elle, expliquant seulement qu’en ce moment il ignore où elle se trouve et qu’il ne pourrait pas retourner à leur logement commun. En l’état, il reste donc à prévoir que, s’il était remis en liberté, le recourant chercherait à rétablir son emprise sur son amie et qu’il se livrerait à de nouvelles violences. Le risque de récidive est donc sérieux. Partant, le risque de récidive justifie le maintien du recourant en détention pour des motifs de sûreté.</w:t>
      </w:r>
    </w:p>
    <w:p>
      <w:r>
        <w:rPr>
          <w:b/>
        </w:rPr>
        <w:t>E. 5.1</w:t>
      </w:r>
    </w:p>
    <w:p>
      <w:r>
        <w:t>Le recourant soutient que le principe de la proportionnalité aurait été violé, dès lors qu’il se trouverait en détention de manière injustifiée depuis huit mois. En outre, il propose des mesures de substitution à sa détention, à savoir une assignation à résidence auprès de ses parents, l'installation d'un bracelet électronique et l'interdiction de prendre contact, de quelque manière que ce soit, avec Q.________.</w:t>
      </w:r>
    </w:p>
    <w:p>
      <w:r>
        <w:rPr>
          <w:b/>
        </w:rPr>
        <w:t>E. 5.2</w:t>
      </w:r>
    </w:p>
    <w:p>
      <w:r>
        <w:t>La détention provisoire et la détention pour des motifs de sûreté ne doivent pas durer plus longtemps que la peine privative de liberté prévisible (art. 212 al. 3 CPP).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133 I 168 consid. 4.1 ; ATF 132 I 21 consid. 4.1 ; TF 1B_411/2011 du 31 août 2011 consid. 4.1). Toutefois, le fait que la peine encourue puisse être assortie du sursis, total ou partiel, n'est pas déterminant sous l'angle de la proportionnalité (ATF 133 I 270 consid. 3.4.2). Conformément au principe de la proportionnalité (cf.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Cette disposition est une concrétisation du principe de la proportionnalité (art. 36 al. 3 Cst.) qui impose d'examiner les possibilités de mettre en œuvre d'autres solutions moins dommageables que la détention (ATF 141 IV 190 consid. 3.1). L'art. 237 al. 2 CPP permet ainsi, entre autres mesures de substitution susceptibles d'entrer ici en considération, l'assignation à résidence. L'art. 237 al. 3 CPP précise que, pour surveiller l'exécution de ces mesures, le tribunal peut ordonner l'utilisation d'appareils techniques qui peuvent être fixés à la personne sous surveillance.</w:t>
      </w:r>
    </w:p>
    <w:p>
      <w:r>
        <w:rPr>
          <w:b/>
        </w:rPr>
        <w:t>E. 5.3</w:t>
      </w:r>
    </w:p>
    <w:p>
      <w:r>
        <w:t>En l’espèce, il y a lieu de constater, une nouvelle fois, que les mesures de substitution évoquées par le prévenu ne sont toujours pas propres à prévenir efficacement le risque de réitération et qu’aucune autre mesure de substitution n’est susceptible de parer à ce risque efficacement. En effet, s’il était remis en liberté, il est à craindre que le recourant, qui ne semble pas avoir renoncé à sa relation avec son amie, se mettrait à rechercher celle-ci. Quant à la durée de la détention pour motifs de sûreté, le recourant aura été détenu onze mois et quatre jours le 25 novembre 2019, date jusqu’à laquelle l’ordonnance attaquée ordonne la détention pour des motifs de sûreté. Cette durée est encore inférieure à la peine que le recourant encourt concrètement s’il est reconnu coupable. Force est ainsi de constater que le principe de la proportionnalité demeure respecté.</w:t>
      </w:r>
    </w:p>
    <w:p>
      <w:r>
        <w:rPr>
          <w:b/>
        </w:rPr>
        <w:t>E. 6</w:t>
      </w:r>
    </w:p>
    <w:p>
      <w:r>
        <w:t>Il résulte de ce qui précède que le recours, manifestement mal fondé, doit être rejeté sans échange d'écritures (art. 390 al. 2 CPP) et l'ordonnance du 28 août 2019 confirmée. Les frais de la procédure de recours, constitués en l’espèce de l’émolument d'arrêt, par 1'540 fr. (art. 20 al. 1 TFIP [tarif des frais judiciaires de procédure et indemnités en matière pénale du 28 septembre 2010 ; BLV 312.03.1]), et des frais imputables à la défense d’office (art. 422 al. 1 et 2 let. a CPP), fixés à 360 fr., auxquels il convient d’ajouter des débours forfaitaires à concurrence de 2% (cf. art. 26b TFIP qui renvoie à l'art. 3bis RAJ [règlement sur l’assistance judiciaire en matière civile du 7 décembre 2010 ; BLV 211.02.3]), par 7 fr. 20, plus la TVA au taux de 7,7%, par 28 fr. 25, soit à 395 fr. 45 au total, seront mis à la charge du prévenu,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28 août 2019 est confirmée. III. L’indemnité allouée au défenseur d’office du recourant, Me Grégoire Ventura, est fixée à 395 fr. 45 (trois cent nonante‑cinq francs et quarante-cinq centimes). IV. Les frais d’arrêt, par 1'540 fr. (mille cinq cent quarante francs), ainsi que l’indemnité due au défenseur d’office de F.________ par 395 fr. 45 (trois cent nonante-cinq francs et quarante‑cinq centimes), sont mis à la charge de ce dernier. V. Le remboursement à l'Etat de l'indemnité allouée au chiffre III ci-dessus ne sera exigible que pour autant que la situation économique de F.________ le permette. VI. L’arrêt est exécutoire. Le président :               Le greffier : Du Le présent arrêt, dont la rédaction a été approuvée à huis clos, est notifié, par l'envoi d'une copie complète, à : - Me Grégoire Ventura, avocat (pour F.________), - Ministère public central, et communiqué à : - M. le Président du Tribunal des mesures de contrainte, - Mme la Procureure de l’arrondissement de l’Est vaudois, - Tribunal d'arrondissement de l'Est vaudois, ‑ Mme Q.________,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