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773 vom 3. September 2019</w:t>
      </w:r>
    </w:p>
    <w:p>
      <w:r>
        <w:t>VD Tribunal cantonal, 2019-09-03, FR</w:t>
      </w:r>
    </w:p>
    <w:p>
      <w:r>
        <w:rPr>
          <w:b/>
        </w:rPr>
        <w:t xml:space="preserve">Quelle: </w:t>
      </w:r>
      <w:r>
        <w:t>https://mcp.opencaselaw.ch/entscheid/vd_findinfo_D_cision___2019___773</w:t>
      </w:r>
    </w:p>
    <w:p>
      <w:r>
        <w:t>FR: VD_FINDINFO Décision / 2019 / 773 du 3 septembre 2019</w:t>
      </w:r>
    </w:p>
    <w:p>
      <w:r>
        <w:t>IT: VD_FINDINFO Décision / 2019 / 773 del 3 settembre 2019</w:t>
      </w:r>
    </w:p>
    <w:p>
      <w:pPr>
        <w:pStyle w:val="Heading2"/>
      </w:pPr>
      <w:r>
        <w:t>Regeste</w:t>
      </w:r>
    </w:p>
    <w:p>
      <w:r>
        <w:t>ORDONNANCE PÉNALE, OPPOSITION{PROCÉDURE}, JUGEMENT PAR DÉFAUT | 356 al. 4 CPP (CH)</w:t>
      </w:r>
    </w:p>
    <w:p>
      <w:pPr>
        <w:pStyle w:val="Heading2"/>
      </w:pPr>
      <w:r>
        <w:t>Erwägungen</w:t>
      </w:r>
    </w:p>
    <w:p>
      <w:r>
        <w:rPr>
          <w:b/>
        </w:rPr>
        <w:t>E. 1</w:t>
      </w:r>
    </w:p>
    <w:p>
      <w:r>
        <w:t>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6 décembre 2017/844 ; CREP 9 février 2016/93 ; CREP 13 avril 2015/244).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BLV 173.01]). Le recours doit être adressé par écrit, dans un délai de dix jours dès la notification de la décision attaquée (cf. art. 384 let. b CPP), à l’autorité de recours (art. 396 al. 1 CPP). En l’espèce, interjeté en temps utile devant l’autorité compétente par la prévenue qui a qualité pour recourir (art. 382 al. 1 CPP) et satisfaisant aux exigences de forme (art. 385 al. 1 CPP), le recours est recevable.</w:t>
      </w:r>
    </w:p>
    <w:p>
      <w:r>
        <w:rPr>
          <w:b/>
        </w:rPr>
        <w:t>E. 2.1</w:t>
      </w:r>
    </w:p>
    <w:p>
      <w:r>
        <w:t>Il découle de l’art. 354 al. 1 let. a CPP que le prévenu a qualité pour former opposition à l’ordonnance pénale rendue contre lui.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L’ordonnance pénale n’est compatible avec la garantie constitutionnelle de l’accès au juge (art. 29a Cst. [Constitution fédérale de la Confédération suisse du 18 avril 1999 ; RS 101]), respectivement avec le droit à ce qu’une cause soit entendue par un tribunal jouissant d’un plein pouvoir d’examen (art. 6 ch. 1 CEDH [Convention du 4 novembre 1950 de sauvegarde des droits de l’homme et des libertés fondamentales ; RS 0.101]), que parce qu’il dépend en dernier lieu de la volonté de la personne concernée de l’accepter ou de faire usage, par le biais de l’opposition, de son droit à un examen par un tribunal.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(cf. ATF 142 IV 158 consid. 3.1 et les réf. cit., JdT 2017 IV 46 ; ATF 140 IV 82 consid. 2.3, JdT 2014 IV 301 ; TF 6B_152/2013 du 27 mai 2013 consid. 4.5, in : Pra 2013 n. 99 pp. 763 ss).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 cit.). L’autorité saisie par l’opposition est responsable du respect des principes régissant la procédure, dans le cadre de la continuation de la procédure, de sorte que l’opposant puisse et doive pouvoir compter de bonne foi sur une procédure conforme aux exigences d’un Etat de droit. Seul le prévenu dument informé peut valablement renoncer à la protection judiciaire garantie par l’art. 29a Cst. en lien avec l’art. 30 Cst. (cf. ATF 142 IV 158 consid. 3.4 et les réf. cit., JdT 2017 IV 46 ; ATF 140 IV 82 consid. 2.6, JdT 2014 IV 301). Demeurent réservés les cas d’abus de droit (cf. ATF 142 IV 158 consid. 3.4 et les réf. cit., JdT 2017 IV 46 ; ATF 140 IV 82 consid. 2.7, JdT 2014 IV 301). Cette jurisprudence développée en lien avec l’art. 355 al. 2 CPP s’applique dans la même mesure à l’art. 356 al. 4 CPP, s’agissant des normes correspondantes (cf. ATF 142 IV 158 consid. 3.5 et les réf. cit., JdT 2017 IV 46 ; TF 6B_397/2015 du 26 novembre 2015 consid. 1.2).</w:t>
      </w:r>
    </w:p>
    <w:p>
      <w:r>
        <w:rPr>
          <w:b/>
        </w:rPr>
        <w:t>E. 2.2</w:t>
      </w:r>
    </w:p>
    <w:p>
      <w:r>
        <w:t>En l’espèce, il est suffisamment établi que la recourante a eu une connaissance effective des conséquences du défaut. D’une part, la citation des 25 juin et 8 juillet 2019 précisait que, si la recourante ne se présentait pas, son opposition serait réputée retirée et l’ordonnance déclarée exécutoire. D’autre part, la recourante a eu connaissance de cette citation, puisqu’elle a réagi en postant un courrier le 6 août 2019, soit le jour même de l’audience, en requérant une nouvelle convocation. Toutefois, ce courrier n’est arrivé que le 7 août 2019, après l’audience, empêchant le greffe d’y répondre. En l’absence de réponse de l’autorité, la recourante ne pouvait décider, de son propre chef, de ne pas se présenter à l’audience. Enfin, on peut sérieusement douter de la fiabilité du document produit, selon lequel la recourante était en Turquie durant la période comprise entre le 4 et le 12 août 2019, puisque son courrier a été posté le 6 août 2019, depuis Clarens. Quoi qu’il en soit, elle aurait dû requérir le renvoi de l’audience si elle savait qu’elle était absente pour un juste motif. La recourante ne saurait ainsi invoquer le principe de la bonne foi (art. 3 al. 2 let. a CPP) dans un tel cas de figure. Il s’ensuit que la prévenue doit être considérée comme ayant retiré son opposition, selon la fiction consacrée par l’art. 356 al. 4 CPP, du simple fait de son défaut inexcusé aux débats de l’audience du 6 août 2019 du Tribunal de police de l’arrondissement de l’Est vaudois, à laquelle elle avait valablement été citée à comparaître.</w:t>
      </w:r>
    </w:p>
    <w:p>
      <w:r>
        <w:rPr>
          <w:b/>
        </w:rPr>
        <w:t>E. 3</w:t>
      </w:r>
    </w:p>
    <w:p>
      <w:r>
        <w:t>En définitive, le recours, manifestement mal fondé, doit être rejeté sans échange d’écritures (art. 390 al. 2 CPP), et le prononcé du 6 août 2019 confirmé. Les frais de la procédure de recours, constitués en l’espèce de l’émolument d'arrêt, par 660 fr. (art. 20 al. 1 [Tarif des frais de procédure et indemnités en matière pénale du 28 septembre 2010 ; BLV 312.03.1]), seront mis à la charge de la recourante, qui succombe (art. 428 al. 1 CPP). Par ces motifs, la Chambre des recours pénale prononce : I. Le recours est rejeté. II. Le prononcé du 6 août 2019 est confirmé. III. Les frais d’arrêt, par 660 fr. (six cent soixante francs), sont mis à la charge de T.________. IV. L’arrêt est exécutoire. Le président :               La greffière : Du Le présent arrêt, dont la rédaction a été approuvée à huis clos, est notifié, par l'envoi d'une copie complète, à : - Mme T.________, - Ministère public central, et communiqué à : - M. le Président du Tribunal de police de l’arrondissement de l’Est vaudois, - M. le Procureur de l’arrondissement de l’Est vaudois, -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