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764 vom 11. September 2019</w:t>
      </w:r>
    </w:p>
    <w:p>
      <w:r>
        <w:t>VD Tribunal cantonal, 2019-09-11, FR</w:t>
      </w:r>
    </w:p>
    <w:p>
      <w:r>
        <w:rPr>
          <w:b/>
        </w:rPr>
        <w:t xml:space="preserve">Quelle: </w:t>
      </w:r>
      <w:r>
        <w:t>https://mcp.opencaselaw.ch/entscheid/vd_findinfo_D_cision___2019___764</w:t>
      </w:r>
    </w:p>
    <w:p>
      <w:r>
        <w:t>FR: VD_FINDINFO Décision / 2019 / 764 du 11 septembre 2019</w:t>
      </w:r>
    </w:p>
    <w:p>
      <w:r>
        <w:t>IT: VD_FINDINFO Décision / 2019 / 764 del 11 settembre 2019</w:t>
      </w:r>
    </w:p>
    <w:p>
      <w:pPr>
        <w:pStyle w:val="Heading2"/>
      </w:pPr>
      <w:r>
        <w:t>Regeste</w:t>
      </w:r>
    </w:p>
    <w:p>
      <w:r>
        <w:t>MESURE THÉRAPEUTIQUE INSTITUTIONNELLE, INTERNEMENT{DROIT PÉNAL}, EXPERTISE PSYCHIATRIQUE, MODIFICATION{EN GÉNÉRAL} | 64b CP, 38 LEP</w:t>
      </w:r>
    </w:p>
    <w:p>
      <w:pPr>
        <w:pStyle w:val="Heading2"/>
      </w:pPr>
      <w:r>
        <w:t>Erwägungen</w:t>
      </w:r>
    </w:p>
    <w:p>
      <w:r>
        <w:rPr>
          <w:b/>
        </w:rPr>
        <w:t>E. 1</w:t>
      </w:r>
    </w:p>
    <w:p>
      <w:r>
        <w:t>En vertu de l’art. 38 al. 1 LEP (Loi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 En l’espèce, le recours a été interjeté en temps utile devant l’autorité compétente et satisfait aux conditions de forme posées par l’art. 385 al. 1 CPP, de sorte qu’il est recevable.</w:t>
      </w:r>
    </w:p>
    <w:p>
      <w:r>
        <w:rPr>
          <w:b/>
        </w:rPr>
        <w:t>E. 2.1</w:t>
      </w:r>
    </w:p>
    <w:p>
      <w:r>
        <w:t>et les références citées, SJ 2013 I 401). Il n’y a pas lieu de s’écarter de cette jurisprudence, qui est également applicable à la révision biennale visant à établir si les conditions d’une mesure thérapeutique institutionnelle sont remplies (CREP 19 juin 2018/474 consid. 2.3).</w:t>
      </w:r>
    </w:p>
    <w:p>
      <w:r>
        <w:rPr>
          <w:b/>
        </w:rPr>
        <w:t>E. 2.2.1</w:t>
      </w:r>
    </w:p>
    <w:p>
      <w:r>
        <w:t>Aux termes de l'art. 64b al. 1 let. b CP, l'autorité compétente doit examiner, d'office ou sur demande, au moins une fois tous les deux ans et pour la première fois avant le début de l'internement, si les conditions d'un traitement thérapeutique institutionnel sont réunies. Si tel est le cas, elle dépose une demande en vue du changement de mesure auprès du juge compétent (cf. art. 65 al. 1 CP). En effet, seul le juge qui a prononcé la peine ou ordonné l'internement est compétent pour prononcer le changement ultérieur de la sanction, car celui-ci constitue une ingérence dans le jugement exécutoire. En présence d'un trouble psychiatrique, l'internement constitue, conformément au principe de la proportionnalité consacré par l'art. 56 al. 2 CP, une mesure subsidiaire aux mesures institutionnelles prévues par l'art. 59 CP. En tant qu' ultima ratio , en raison de la gravité de l'atteinte à la liberté personnelle qu'il représente, l'internement n'entre ainsi pas en considération si une mesure institutionnelle apparaît utile (ATF 139 IV 57 consid. 1.3.3). Ce n'est que lorsque cette dernière semble dénuée de chances de succès que l'internement peut être maintenu, s'il est nécessaire. Cette démarche doit permettre d'éviter qu'un auteur soit déclaré a priori « incurable » et interné dans un établissement d'exécution des peines (ATF 140 IV 1 consid. 3.2.4 ; ATF 134 IV 315 consid. 3.2). Le seul fait que l'intéressé soit désireux et apte à suivre un traitement institutionnel ne suffit toutefois pas à éviter l'internement ou son maintien.</w:t>
      </w:r>
    </w:p>
    <w:p>
      <w:r>
        <w:rPr>
          <w:b/>
        </w:rPr>
        <w:t>E. 2.2.2</w:t>
      </w:r>
    </w:p>
    <w:p>
      <w:r>
        <w:t>Le prononcé d'une mesure thérapeutique institutionnelle selon l'art. 59 CP suppose l’existence d’un grave trouble mental, le fait que l'auteur ait commis un crime ou un délit en relation avec ce trouble (let. a) et qu'il soit à prévoir que cette mesure le détournera de nouvelles infractions en relation avec celui-ci (let. b). La mesure thérapeutique au sens de l'art. 59 CP vise avant tout « un impact thérapeutique dynamique », et donc une amélioration du pronostic légal, et non la « simple administration statique et conservatoire » des soins (ATF 137 IV 201 consid. 1.3 ; ATF 134 IV 315 précité consid. 3.6 ; TF 6B_205/2012 du 27 juillet 2012 consid. 3.2.1). Il doit être suffisamment vraisemblable que le traitement entraînera, dans les cinq ans de sa durée normale, une réduction nette du risque que l'intéressé commette de nouvelles infractions (ATF 140 IV 1 précité ; ATF 134 IV 315 précité consid. 3.4.1 ; TF 6B_486/2019 du 12 juin 2019 consid. 2.2.1). La seule possibilité vague d'une diminution du risque ou l’espoir d'une diminution seulement minimale de ce risque ne sont en revanche pas suffisants (ATF 141 IV 1 consid. 3.2.4 ; ATF 134 IV 315 précité). Pour que la mesure puisse atteindre son but, il faut que l'auteur contribue un minimum au traitement. Il ne faut toutefois pas poser des exigences trop élevées à la disposition minimale de l'intéressé à coopérer à la mesure (ATF 123 IV 113 consid. 4c/dd ; TF 6B_486/2019 précité). Il suffit que l'intéressé puisse être motivé (« motivierbar » ; TF 6B_486/2019 précité ; TF 6B_205/2012 du 27 juillet 2012 consid. 3.2.1 ; TF 6B_784/2010 du 2 décembre 2010 consid. 2.2.3). Une mesure thérapeutique institutionnelle peut contribuer à garantir la sécurité publique de la même façon que l'internement, dans la mesure où elle peut être exécutée dans un établissement fermé ou dans un établissement pénitentiaire (art. 59 al. 3 CP ; ATF 134 IV 315 précité consid. 3.2). Ainsi, même si l'auteur est dangereux au sens de l'art. 64 al. 1 let. b CP, le juge doit ordonner une mesure thérapeutique institutionnelle au sens de l'art. 59 CP si cette mesure promet un certain succès. Ce n'est que lorsqu'il apparaît qu'un traitement selon l'art. 59 CP n'apportera pas le succès escompté que l'internement devra être ordonné (ATF 134 IV 315 précité consid. 3.5). Dans le cadre de l'examen de la libération conditionnelle d’une mesure thérapeutique institutionnelle, le Tribunal fédéral a eu l'occasion d'indiquer que pour qu’une telle mesure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(ATF 137 IV 201 précité).</w:t>
      </w:r>
    </w:p>
    <w:p>
      <w:r>
        <w:rPr>
          <w:b/>
        </w:rPr>
        <w:t>E. 2.2.3</w:t>
      </w:r>
    </w:p>
    <w:p>
      <w:r>
        <w:t>Pour déterminer si les conditions d'un traitement thérapeutique institutionnel sont réunies, l’autorité compétente s’entoure d’informations provenant de diverses sources : un rapport de la direction de l’établissement, une expertise indépendante au sens de l’art. 56 al. 4 CP,  l’audition d’une commission composée de représentants des autorités de poursuite pénale, des autorités d’exécution et des milieux de la psychiatrie au sens de l’art. 62d al. 2 CP, ainsi que l’audition de l’auteur (art. 64b al. 2 CP). L’expertise doit se déterminer sur la nécessité et les chances de succès d’un traitement, sur la vraisemblance que l’auteur commette d’autres infractions et sur la nature de celles-ci (art. 56 al. 3 CP).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(Constitution fédérale de la Confédération suisse du 18 avril 1999 ; RS 101) (ATF 142 IV 49 précité). Selon la jurisprudence rendue sous l’empire de l’ancien droit, le critère formel de la date de l’expertise n’est pas en soi déterminant. Le juge peut se fonder sur une expertise relativement ancienne à condition que la situation n’ait pas changé entre-temps. Si, en revanche, par l’écoulement du temps et à la suite d’un changement de circonstances, l’expertise existante ne reflète plus l’état actuel, une nouvelle évaluation est indispensable (ATF 128 IV 241 consid. 3.4). Contrairement au droit actuel (art. 64b al. 2 CP), l’ancien droit n’exigeait pas que la révision annuelle de l’internement se fonde sur une expertise. Selon la jurisprudence rendue en matière d’examen annuel de la libération conditionnelle de l’internement (art. 64b al. 1 let. a CP), l’art. 64b CP ne peut être interprété dans le sens d’une obligation de procéder à une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 l’expertise (TF 6B_815/2015 du 11 avril 2016 consid. 1.2 ; TF 6B_323/2014 du 10 juillet 2014 consid. 3 et les références citées ; TF 6B_413/2012 consid.</w:t>
      </w:r>
    </w:p>
    <w:p>
      <w:r>
        <w:rPr>
          <w:b/>
        </w:rPr>
        <w:t>E. 2.3</w:t>
      </w:r>
    </w:p>
    <w:p>
      <w:r>
        <w:t>En l’espèce, s’il peut être donné acte au recourant que l’expertise sur laquelle s’est fondé le Collège des juges d’application des peines date du mois de septembre 2017, force est toutefois de constater que la situation de l’intéressé n’a pas significativement changé depuis lors, de sorte que cette autorité pouvait à bon droit se fonder sur les conclusions de cette expertise, qui relevaient notamment qu’aucun traitement n’était susceptible de diminuer le risque de récidive présenté par N.________. En effet, celui-ci se trouve manifestement toujours en opposition avec certaines règles et nie toujours sa responsabilité dans ses actes, les imputant à divers facteurs. Il peut à cet égard être renvoyé au contenu du récent procès-verbal d’audition du recourant devant la Présidente du Collège des juges d’application des peines (cf. consid. Bb supra ), qui démontre son absence de prise de conscience et le déni du caractère inacceptable de ses agissements, y compris en détention. L’évolution du recourant laisse certes apparaître quelque amélioration. Toutefois, s’il y a effectivement lieu de saluer l’embryon de changement d’N.________ à certaines périodes et selon certains endroits où il a été détenu, son comportement actuel ne permet toutefois pas de qualifier son évolution de significative et rien ne justifie une nouvelle expertise, ni une mesure thérapeutique institutionnelle à ce stade. En effet, au vu de ce qui précède, les chances de succès d’un travail thérapeutique paraissent à ce jour inexistantes et c’est donc à juste titre que le Collège des juges d’application des peines a renoncé à saisir le juge compétent d’une demande de changement de sanction et a confirmé la mesure d’internement ordonnée à l’égard d’N.________. Ce constat ne préjuge néanmoins pas de l’évolution des changements amorcés par le recourant et ne ferme bien entendu pas définitivement la porte à une saisine du tribunal en application de l’art. 65 CP. En effet, dans la mesure où l’autorité doit, d’office et au moins une fois tous les deux ans, examiner si les conditions d’un traitement thérapeutique institutionnel sont réunies, le condamné ayant par ailleurs le droit d’en faire lui-même la demande (art. 64b al. 1 let. b CP), la question sera à tout le moins réexaminée dans deux ans. Dans cette perspective, une nouvelle expertise devra notamment être mise en œuvre, afin que le Collège des juges d’application des peines puisse se fonder sur des informations actualisées.</w:t>
      </w:r>
    </w:p>
    <w:p>
      <w:r>
        <w:rPr>
          <w:b/>
        </w:rPr>
        <w:t>E. 3</w:t>
      </w:r>
    </w:p>
    <w:p>
      <w:r>
        <w:t>Il résulte de ce qui précède que le recours, manifestement mal fondé, doit être rejeté sans échange d’écritures (art. 390 al. 2 CPP). Les frais de la procédure de recours, constitués en l’espèce de l’émolument d'arrêt, par 1’650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 par 10 fr. 80, plus la TVA, par 42 fr. 40, soit à 593 fr. 20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La décision du 16 août 2019 est confirmée. III. L’indemnité allouée au défenseur d’office d’N.________ est fixée à 593 fr. 20 (cinq cent nonante-trois francs et vingt centimes). IV. Les frais d’arrêt, par 1’650 fr. (mille six cent cinquante francs), ainsi que l’indemnité due au défenseur d’office d’N.________, par 593 fr. 20 (cinq cent nonante-trois francs et vingt centimes), sont mis à la charge de ce dernier. V. Le remboursement à l’Etat de l’indemnité allouée au chiffre III ci-dessus ne sera exigible que pour autant que la situation économique d’N.________ le permette. VI. L’arrêt est exécutoire. Le président :               La greffière : Du Le présent arrêt, dont la rédaction a été approuvée à huis clos, est notifié, par l'envoi d'une copie complète, à : - Me Joëlle Zimmermann, avocate (pour N.________), - Ministère public central, et communiqué à : ‑ Mme la Présidente du Collège des juges d’application des peines, - Mme la Procureure du Ministère public central, - Office d’exécution des peines (réf. OEP/MES/72604/CGY/ipe), - Direction des Etablissements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