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75 vom 18. Januar 2019</w:t>
      </w:r>
    </w:p>
    <w:p>
      <w:r>
        <w:t>VD Tribunal cantonal, 2019-01-18, FR</w:t>
      </w:r>
    </w:p>
    <w:p>
      <w:r>
        <w:rPr>
          <w:b/>
        </w:rPr>
        <w:t xml:space="preserve">Quelle: </w:t>
      </w:r>
      <w:r>
        <w:t>https://mcp.opencaselaw.ch/entscheid/vd_findinfo_D_cision___2019___75</w:t>
      </w:r>
    </w:p>
    <w:p>
      <w:r>
        <w:t>FR: VD_FINDINFO Décision / 2019 / 75 du 18 janvier 2019</w:t>
      </w:r>
    </w:p>
    <w:p>
      <w:r>
        <w:t>IT: VD_FINDINFO Décision / 2019 / 75 del 18 gennaio 2019</w:t>
      </w:r>
    </w:p>
    <w:p>
      <w:pPr>
        <w:pStyle w:val="Heading2"/>
      </w:pPr>
      <w:r>
        <w:t>Regeste</w:t>
      </w:r>
    </w:p>
    <w:p>
      <w:r>
        <w:t>CLASSEMENT DE LA PROCÉDURE, DROIT D'ÊTRE ENTENDU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Ce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à l’autorité de recours (art. 322 al. 2 et 396 al. 1 CPP). En l’espèce, interjeté dans le délai légal auprès de l’autorité compétente, par une partie plaignante qui a qualité pour recourir (art. 382 al. 1 CPP), le recours a été motivé en temps utile. Le recourant n’a certes pas formulé expressément ses conclusions, mais il résulte assez clairement des motifs qu’il invoque que l’ordonnance attaquée soit annulée et que l’instruction se poursuive. Il y a dès lors lieu d’entrer en matière.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À la clôture de l’instruction, l’appréciation des charges n’est pas régie par la présomption d’innocence, mais par l’adage « in dubio pro duriore », qui découle selon le Tribunal fédéral du principe de la légalité (art.</w:t>
      </w:r>
    </w:p>
    <w:p>
      <w:r>
        <w:rPr>
          <w:b/>
        </w:rPr>
        <w:t>E. 5</w:t>
      </w:r>
    </w:p>
    <w:p>
      <w:r>
        <w:t>Il résulte de ce qui précède que le recours, manifestement mal fondé, doit être rejeté sans échange d’écritures (art. 390 al. 2 CPP) et l'ordonnance de classement du 10 juillet 2018 confirmée. Les frais de la procédure de recours,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de classement du 10 juillet 2018 est confirmée. III. Les frais d’arrêt, par 770 fr. (sept cent septante francs), sont mis à la charge d’X.________. IV. L’arrêt est exécutoire. Le président :               La greffière : Du Le présent arrêt, dont la rédaction a été approuvée à huis clos, est notifié, par l'envoi d'une copie complète, à : - M. X.________, - Ministère public central, et communiqué à : ‑ Mme la Procureure de l’arrondissement de Lausanne, - Hôpital Y.________ (réf.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