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748 vom 6. September 2019</w:t>
      </w:r>
    </w:p>
    <w:p>
      <w:r>
        <w:t>VD Tribunal cantonal, 2019-09-06, FR</w:t>
      </w:r>
    </w:p>
    <w:p>
      <w:r>
        <w:rPr>
          <w:b/>
        </w:rPr>
        <w:t xml:space="preserve">Quelle: </w:t>
      </w:r>
      <w:r>
        <w:t>https://mcp.opencaselaw.ch/entscheid/vd_findinfo_D_cision___2019___748</w:t>
      </w:r>
    </w:p>
    <w:p>
      <w:r>
        <w:t>FR: VD_FINDINFO Décision / 2019 / 748 du 6 septembre 2019</w:t>
      </w:r>
    </w:p>
    <w:p>
      <w:r>
        <w:t>IT: VD_FINDINFO Décision / 2019 / 748 del 6 settembre 2019</w:t>
      </w:r>
    </w:p>
    <w:p>
      <w:pPr>
        <w:pStyle w:val="Heading2"/>
      </w:pPr>
      <w:r>
        <w:t>Regeste</w:t>
      </w:r>
    </w:p>
    <w:p>
      <w:r>
        <w:t>ABUS DE CONFIANCE, GESTION DÉLOYALE, CAS DE SÉQUESTRE | 138 ch. 1 CP, 158 ch. 1 al. 1 CP, 263 al. 1 let. c CPP (CH), 263 al. 1 let. d CPP (CH)</w:t>
      </w:r>
    </w:p>
    <w:p>
      <w:pPr>
        <w:pStyle w:val="Heading2"/>
      </w:pPr>
      <w:r>
        <w:t>Erwägungen</w:t>
      </w:r>
    </w:p>
    <w:p>
      <w:r>
        <w:rPr>
          <w:b/>
        </w:rPr>
        <w:t>E. 1.1</w:t>
      </w:r>
    </w:p>
    <w:p>
      <w:r>
        <w:t>Selon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Lembo/Julen Berthod, in: Kuhn/Jeanneret [éd.], Commentaire romand, Code de procédure pénale suisse, Bâle 2011, n. 4 ad art. 267 CPP; CREP 7 juin 2018/427; CREP 11 janvier 2017/21 et les réf. citées).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Interjeté en temps utile par le prévenu, qui a un intérêt juridique à l’annulation ou à la modification de l’ordonnance entreprise (art. 382 al. 1 CPP), et dans les formes prescrites (art. 385 al. 1 CPP), le recours de S.________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w:t>
      </w:r>
    </w:p>
    <w:p>
      <w:r>
        <w:rPr>
          <w:b/>
        </w:rPr>
        <w:t>E. 2.2</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que l'autorité résolve des questions juridiques complexes ou qu'elle attende d'être renseignée de manière exacte et complète sur les faits (ATF 141 IV 360 consid. 3.2; TF 1B_59/2019 du 21 juin 2019 consid. 3.1).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1B_59/2019 précité; Lembo/Julen Berthod, op. cit., n. 26 ad art. 263 CPP et les réf. citées).</w:t>
      </w:r>
    </w:p>
    <w:p>
      <w:r>
        <w:rPr>
          <w:b/>
        </w:rPr>
        <w:t>E. 2.3</w:t>
      </w:r>
    </w:p>
    <w:p>
      <w:r>
        <w:t>Le séquestre en vue de la restitution au lésé (art. 263 al. 1 let. c CPP) consiste à placer en main de justice des objets ou valeurs patrimoniales dans le but de les rendre au lésé en rétablissement des droits qui lui seront reconnus au terme du procès (Lembo/Julen Berthod, op. cit., n. 12 ad art. 263 CPP). Ce type de séquestre est, selon la jurisprudence et la doctrine, limité aux valeurs patrimoniales et aux objets qui ont été soustraits à la personne lésée directement du fait de l’infraction, soit aux choses dont l’ayant droit a été dépouillé par l’infraction, mais aussi aux comptes alimentés grâce à l’infraction (Message du Conseil fédéral relatif à l'unification du droit de la procédure pénale du 21 décembre 2005, FF 2006 pp. 1057 ss, spéc. p. 1227). Si un lien direct ne peut pas être établi entre les objets ou valeurs patrimoniales et l’infraction, le séquestre ne peut pas être ordonné et ne saurait être licite (Moreillon/Parein-Reymond, op. cit., n. 17 ad art. 263 CPP et les réf. citées).</w:t>
      </w:r>
    </w:p>
    <w:p>
      <w:r>
        <w:rPr>
          <w:b/>
        </w:rPr>
        <w:t>E. 2.4</w:t>
      </w:r>
    </w:p>
    <w:p>
      <w:r>
        <w:t>Le séquestre en vue de confiscation (art. 263 al. 1 let. d CPP) est une mesure conservatoire provisoire – destinée à préserver les objets ou les valeurs que le juge du fond pourrait être amené à confisquer – qui est fondée sur la vraisemblance et se justifie aussi longtemps qu'une simple possibilité de confiscation en application du Code pénal semble, prima facie , subsister (ATF 139 IV 250 consid. 2.1; ATF 137 IV 145 consid. 6.4 et les réf.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ATF 129 II 453 consid. 4.1; CREP 7 juin 2018/427 consid. 2.2; CREP 1 er mars 2016/135 consid. 3.2.2).</w:t>
      </w:r>
    </w:p>
    <w:p>
      <w:r>
        <w:rPr>
          <w:b/>
        </w:rPr>
        <w:t>E. 2.5.1</w:t>
      </w:r>
    </w:p>
    <w:p>
      <w:r>
        <w:t>Selon l'art. 71 al. 1 CP, lorsque les valeurs patrimoniales à confisquer ne sont plus disponibles, le juge ordonne leur remplacement par une créance compensatrice de l'État d'un montant équivalent.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Le séquestre tendant à garantir une éventuelle créance compensatrice peut porter sur tous les biens, valeurs et/ou revenus de l'intéressé sans qu'un lien de connexité avec l'infraction ne soit exigé (ATF 141 IV 360 consid. 3.2 et les réf. citées; 140 IV 57 consid. 4.1.2 p. 63 s.). Toutefois, tant que l'étendue de la mesure ne paraît pas manifestement violer le principe de proportionnalité, notamment sous l'angle du respect des conditions minimales d'existence (TF 1B_175/2015 du 10 août 2015 consid. 3.2), le séquestre doit être maintenu.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141 IV 360 consid. 3.2; ATF 140 IV 57 consid. 4.1.2 et les réf. citées).</w:t>
      </w:r>
    </w:p>
    <w:p>
      <w:r>
        <w:rPr>
          <w:b/>
        </w:rPr>
        <w:t>E. 2.5.2</w:t>
      </w:r>
    </w:p>
    <w:p>
      <w:r>
        <w:t>Le mélange de valeurs délictueuses avec des fonds de provenance licite sur un compte bancaire ne suffit pas à exclure toute confiscation directe si un lien de connexité peut être établi entre le compte et l'infraction poursuivie ("Paper trail"); le recours à une créance compensatrice n'est nécessaire que si le mouvement des valeurs ne peut pas être identifié (ATF 126 I 97 consid. 3c/bb p. 105 s.; TF 1B_22/2017 du 24 mars 2017 consid. 2 et les réf. citées; TF 6B_180/2016 du 28 octobre 2016 consid. 4.4.1; SJ 2006 I 461; CREP 30 avril 2019/356).</w:t>
      </w:r>
    </w:p>
    <w:p>
      <w:r>
        <w:rPr>
          <w:b/>
        </w:rPr>
        <w:t>E. 2.6</w:t>
      </w:r>
    </w:p>
    <w:p>
      <w:r>
        <w:t>Pour que le séquestre soit conforme au principe de la proportionnalité (cf. art. 197 al. 1 let. c et d CPP et art. 36 al. 3 Cst. [Constitution fédérale de la Confédération suisse du 18 avril 1999 ; RS 101]), il faut qu'il soit apte à produire les résultats escomptés (règle de l’aptitude), ces derniers ne pouvant pas être atteints par une mesure moins incisive (règle de la nécessité) (Lembo/Julen Berthod, op. cit., n. 17 ad art. 263 CPP).</w:t>
      </w:r>
    </w:p>
    <w:p>
      <w:r>
        <w:rPr>
          <w:b/>
        </w:rPr>
        <w:t>E. 2.7</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ATF 121 IV 23 consid. 1c; ATF 119 IV 127 consid. 2). Emploie une valeur patrimoniale sans droit celui qui dissimule un encaissement qu'il a effectué pour autrui (Hurtado Pozo, Droit pénal, partie spéciale, 2009, n. 882 ad art. 138 CP et la référence citée). L'infraction est intentionnelle et suppose, même si le texte légal ne le dit pas expressément, l'existence d'un dessein d'enrichissement illégitime (ATF 118 IV 32 consid. 2a ; ATF 105 IV 29 consid. 3a). L'absence ou le retard dans l'invocation de la compensation constituent indéniablement des indices importants de l'absence d'une véritable volonté de compenser et, partant, l'existence d'un dessein d'enrichissement illégitime; de manière générale, il n'y a pas de dessein d'enrichissement illégitime chez celui qui s'approprie une chose dans le but de se payer, s'il a une créance au moins égale à la valeur de la chose dont il s'est approprié et s'il a vraiment agi en vue de se payer (ATF 105 IV 29 consid. 3a; ATF 98 IV 19 consid. 1 et 2; ATF 81 IV 228 consid. 2; CREP 22 mars 2019/221 consid. 4.2.1)</w:t>
      </w:r>
    </w:p>
    <w:p>
      <w:r>
        <w:rPr>
          <w:b/>
        </w:rPr>
        <w:t>E. 2.8</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ATF 120 IV 190 consid. 2b). Le devoir de gestion et de sauvegarde entraîne l’obligation d’accomplir des actes matériels ou juridiques, en particulier des actes tendant à la défense des intérêts pécuniaires d’autrui (TF 6B_845/2014 du 16 mars 2015 consid. 3.1; Corboz, Les infractions en droit suisse, vol. I, 3 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6B_845/2014 précité consid. 3.2; TF 6B_967/2013 du 21 février 2014 consid. 3.2; TF 6B_223/2010 du 13 janvier 2011 consid. 3.3.2; TF 6B_446/2010 du 14 janvier 2010 consid. 8.4.1).</w:t>
      </w:r>
    </w:p>
    <w:p>
      <w:r>
        <w:rPr>
          <w:b/>
        </w:rPr>
        <w:t>E. 3.1</w:t>
      </w:r>
    </w:p>
    <w:p>
      <w:r>
        <w:t>Le recourant conteste l'existence de soupçons de commission d'une infraction. Il prétend que s'il a effectué des prélèvements par le débit des comptes de U. A.-M.________ Sàrl, c'est parce que, dès mi-2016, son salaire aurait été réduit de 7'000 à 5'000 fr. d'entente avec U.________. Il aurait été cependant prévu que la différence lui serait versée quand les finances iraient mieux. Il ajoute que U.________ l'aurait autorisé à rembourser les emprunts qu'il avait dû faire en raison de cette baisse de salaire au moyen des comptes de U. A.-M.________ Sàrl. Invoquant à cet égard une créance de salaire de 84'447 fr. 60, il soutient en définitive que le litige serait purement civil.</w:t>
      </w:r>
    </w:p>
    <w:p>
      <w:r>
        <w:rPr>
          <w:b/>
        </w:rPr>
        <w:t>E. 3.2</w:t>
      </w:r>
    </w:p>
    <w:p>
      <w:r>
        <w:t>En l'occurrence, il ressort indubitablement des pièces produites par les parties plaignantes que, de 2014 à 2019, le prévenu a fait verser depuis les comptes de U. A.-M.________ Sàrl et de l'association U.-J.________ de nombreux montants en sa faveur, et en faveur de tiers, à savoir sa compagne, des débiteurs personnels tels que des préteurs, l'Office des poursuites, les impôts, les assurances maladie, notamment (cf. P. 5/23 à 28; P. 19/1 à 23). Ce faisant, l'intéressé a utilisé des valeurs patrimoniales des deux entités précitées à son profit, notamment pour éteindre des dettes personnelles. Certes, le recourant invoque en compensation une prétendue créance de salaire, pour justifier les nombreux prélèvements faits. Il n'apparaît cependant pas que, dans les comptes de U. A.-M.________ Sàrl, une telle créance figurait depuis 2015, ni de manière générale que ces prélèvements étaient enregistrés dans la comptabilité dans un compte courant U. A.-M.________ Sàrl/S.________. En outre, il ressort d'un courriel d'[...] (P. 43) en charge d'établir les comptes des deux entités pour [...], qu'il y a eu en 2018 une accélération des dépenses privées du prévenu et que lui-même n'avait pas pu affecter ces dépenses au but social de ces entités. Ensuite, il faut relever que, juridiquement (cf. consid. 2.7 supra), l'absence d'invocation de la volonté de compenser, ou le retard dans l'invocation de cette volonté, constituent des indices importants de l'absence d'une réelle volonté de compenser et, partant, de l'existence d'un dessein d'enrichissement illégitime. Or, en l'espèce, ce n'est apparemment qu'après le dépôt de la plainte pénale, soit 4 ans après les prélèvements, que la compensation a été invoquée. Enfin, si le recourant invoque en compensation une créance pour justifier les prélèvements faits au préjudice de U. A.-M.________ Sàrl, il n'invoque rien pour justifier ceux faits au préjudice de l'association U.-J.________. En particulier, il n'explique pas pour quelles raisons il aurait prélevé en 2018 des montants à titre de salaire, soit 43'380 fr., alors qu'à première vue aucun contrat de travail ne le liait à celle-ci. En conclusion, il ressort du dossier que des soupçons suffisants laissent présumer la commission par S.________ d'une infraction au sens de l’art. 197 al. 1 let. b CPP, soit un abus de confiance et des actes de gestion déloyale, au détriment de U.________, l'association U.-J.________ et U. A.-M.________ Sàrl.</w:t>
      </w:r>
    </w:p>
    <w:p>
      <w:r>
        <w:rPr>
          <w:b/>
        </w:rPr>
        <w:t>E. 4.1</w:t>
      </w:r>
    </w:p>
    <w:p>
      <w:r>
        <w:t>Le recourant semble en outre remettre en cause le montant de 75'000 fr. en disant que le montant invoqué dans la plainte serait de 32'303 fr. 98.</w:t>
      </w:r>
    </w:p>
    <w:p>
      <w:r>
        <w:rPr>
          <w:b/>
        </w:rPr>
        <w:t>E. 4.2</w:t>
      </w:r>
    </w:p>
    <w:p>
      <w:r>
        <w:t>En l'occurrence, comme l'a retenu à juste titre le Ministère public, le préjudice semble dépasser le montant 75'000 fr. (cf. P. 4, 5, 10, 11 et 19). Au stade de la vraisemblance, en se référant au récapitulatif établi par les parties plaignantes (cf. P. 19/21), étayé par pièces (cf. P. 19/1 à 20, 19/22 et 23), le prévenu apparaît avoir prélevé, à tout le moins, entre 2014 et 2019, le montant de 89'637 fr. 19 au préjudice de l'association U.-J.________ (8'494 fr. 50 leasing 2 ème voiture + 457 fr. 05 crédit personnel + 37'305 fr. 64 retraits 2014 à 2019 + 43'380 fr. salaires) et le montant de 19'373 fr. 04 au préjudice de U. A.-M.________ Sàrl (3'915 fr. 60 leasing 1 ère voiture + 1'703 fr. 60 leasing 2 ème voiture + 8'226 fr. 90 crédit personnel + 1856 fr. 40 assurance maladie + 2'500 fr. retrait 2017 + 1'170 fr. 54 retraits 2018). La condition de la proportionnalité est donc également remplie.</w:t>
      </w:r>
    </w:p>
    <w:p>
      <w:r>
        <w:rPr>
          <w:b/>
        </w:rPr>
        <w:t>E. 5.1</w:t>
      </w:r>
    </w:p>
    <w:p>
      <w:r>
        <w:t>Le recourant invoque enfin l'absence de lien de connexité entre le montant de 75'000 fr. séquestré, qui proviendrait d'une vente immobilière, et les prétendues infractions.</w:t>
      </w:r>
    </w:p>
    <w:p>
      <w:r>
        <w:rPr>
          <w:b/>
        </w:rPr>
        <w:t>E. 5.2</w:t>
      </w:r>
    </w:p>
    <w:p>
      <w:r>
        <w:t>En l’espèce, on ignore quels montants figurent sur les comptes logés sous la relation bancaire [...] visée par le séquestre au-delà du 30 avril 2019. Pour autant, c'est à juste titre que le Procureur a statué en l’état du dossier conformément à la jurisprudence mentionnée plus haut (cf. consid. 2.5 supra). En particulier, on rappellera qu'il n'est pas besoin d'identifier le mouvement des valeurs patrimoniales pour ordonner le séquestre conservatoire en vue de garantir une créance compensatrice. Peu importe à cet égard que le prévenu prétende dans le cadre de son recours avoir récemment ouvert un nouveau compte pour recevoir le produit d'une vente immobilière, dès lors que ce compte est bien logé sous la relation bancaire visée par le séquestre et qu'on ne peut, sur la base des pièces disponibles, identifier quel a été le mouvement des valeurs des comptes logés sous ladite relation, le recourant ne produisant en particulier aucune pièce pour établir ses assertions. Surtout, puisqu'en l'occurrence subsiste une possibilité de créance compensatrice, le séquestre conservatoire tendant à garantir une telle créance peut porter sur toutes les valeurs déposées sur les comptes bancaires du prévenu sans qu'un lien de connexité avec l'infraction ne soit exigé. Enfin, le recourant ne fait pas valoir en quoi le séquestre violerait manifestement le principe de proportionnalité sous l'angle du respect de ses conditions minimales d'existence. Au demeurant, celui-ci ne conteste pas être au bénéfice d'un montant largement supérieur au montant séquestré, puisqu'il admet avoir reçu le 11 juillet 2019 la somme de 243'307 francs.</w:t>
      </w:r>
    </w:p>
    <w:p>
      <w:r>
        <w:rPr>
          <w:b/>
        </w:rPr>
        <w:t>E. 6</w:t>
      </w:r>
    </w:p>
    <w:p>
      <w:r>
        <w:t>En définitive, sur la base de ce qui précède, le recours doit être rejeté et l'ordonnance attaquée confirmée. Les frais de la procédure de recours, constitués en l’espèce de l'émolument d’arrêt (art. 422 al. 1 CPP), par 1’210 fr. (art. 20 al. 1 TFIP [Tarif des frais de procédure et indemnités en matière pénale du 28 septembre 2010; BLV 312.03.1]), seront mis à la charge du recourant, qui succombe (art. 428 al. 1, 1 ère phrase, CPP). Par ces motifs, la Chambre des recours pénale prononce : I. Le recours est rejeté. II. L'ordonnance du 26 juillet 2019 est confirmée. III. Les frais d’arrêt, par 1’210 fr. (mille deux cent dix francs), sont mis à la charge de S.________. IV. L’arrêt est exécutoire. Le président :               Le greffier : Du Le présent arrêt, dont la rédaction a été approuvée à huis clos, est notifié, par l'envoi d'une copie complète, à : - Me John-David Burdet, avocat (pour S.________), - Ministère public central, et communiqué à : - M. le Procureur de l’arrondissement de La Côte, - Me Dimitri Tzortzis, avocat (pour U.________), - U.-J.________, - U. A.-M.________ Sàrl,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