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729 vom 30. August 2019</w:t>
      </w:r>
    </w:p>
    <w:p>
      <w:r>
        <w:t>VD Tribunal cantonal, 2019-08-30, FR</w:t>
      </w:r>
    </w:p>
    <w:p>
      <w:r>
        <w:rPr>
          <w:b/>
        </w:rPr>
        <w:t xml:space="preserve">Quelle: </w:t>
      </w:r>
      <w:r>
        <w:t>https://mcp.opencaselaw.ch/entscheid/vd_findinfo_D_cision___2019___729</w:t>
      </w:r>
    </w:p>
    <w:p>
      <w:r>
        <w:t>FR: VD_FINDINFO Décision / 2019 / 729 du 30 août 2019</w:t>
      </w:r>
    </w:p>
    <w:p>
      <w:r>
        <w:t>IT: VD_FINDINFO Décision / 2019 / 729 del 30 agosto 2019</w:t>
      </w:r>
    </w:p>
    <w:p>
      <w:pPr>
        <w:pStyle w:val="Heading2"/>
      </w:pPr>
      <w:r>
        <w:t>Regeste</w:t>
      </w:r>
    </w:p>
    <w:p>
      <w:r>
        <w:t>DÉTENTION PROVISOIRE, PROPORTIONNALITÉ, RISQUE DE FUITE, RISQUE DE RÉCIDIVE | 221 al. 1 let. a CPP (CH), 221 al. 1 let. c CPP (CH), 221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Z. 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3.1</w:t>
      </w:r>
    </w:p>
    <w:p>
      <w:r>
        <w:t>Le recourant fait valoir qu'il existerait de nombreux nouveaux éléments, résultant en particulier de l'audition de témoins, qui seraient venu s'ajouter à décharge. L'acte de recours n'indique toutefois pas du tout quels seraient ces éléments. Le recourant fait ensuite valoir que l'expertise psychiatrique serait fausse, que ses propos auraient été déformés lors d'une audition, enfin que la plaignante aurait des problèmes psychiques.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ATF 137 IV 122 consid. 3.2; TF 1B_372/2017 du 26 septembre 2017 consid. 2.1; Schmocker, op. cit., n. 8 ad art. 221 CPP).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ATF 124 I 208 consid. 3; TF 1B_308/2018 du 17 juillet 2018 consid. 2.1; Forster, in: Niggli/Heer/Wiprächtiger [éd.], Basler Kommentar, Schweizerische Strafprozessordnung, 2 e éd., Bâle 2014, n. 3 ad art. 221 CPP).</w:t>
      </w:r>
    </w:p>
    <w:p>
      <w:r>
        <w:rPr>
          <w:b/>
        </w:rPr>
        <w:t>E. 3.3</w:t>
      </w:r>
    </w:p>
    <w:p>
      <w:r>
        <w:t>En l’espèce, le recourant persiste à soutenir qu'il devrait être mis au bénéfice de ses déclarations en présence de versions contradictoires, faisant valoir cette fois que la plaignante aurait des problèmes psychiques. A cet égard, la Cour de céans se réfèrera à son arrêt du 30 novembre 2017/830, qui garde sa pertinence, aucun élément nouveau n’étant venu le relativiser. S'agissant en particulier des infractions commises au préjudice de X.________, il convient de souligner que la version de la plaignante est accréditée par les nombreux hématomes, ecchymoses et dermabrasions constatés sur le corps de celle-ci lors de l’examen clinique réalisé à l’Hôpital d’Yverdon quelques heures après les faits. De telles lésions ne sont pas compatibles avec une auto-agression. En outre, il ressort du rapport d’investigation du 16 novembre 2017 (P. 7) que du sang a été retrouvé à différents endroits de l’appartement ainsi que sur les habits du prévenu. A cela s’ajoute que le recourant a pris la fuite à l’arrivée de la police le 14 novembre 2017. Quoi qu'en dise le recourant, il existe toujours à ce stade, compte tenu de l’ensemble des éléments recueillis depuis le début de l’enquête, des indices sérieux de culpabilité à son encontre.</w:t>
      </w:r>
    </w:p>
    <w:p>
      <w:r>
        <w:rPr>
          <w:b/>
        </w:rPr>
        <w:t>E. 4</w:t>
      </w:r>
    </w:p>
    <w:p>
      <w:r>
        <w:t>juillet 2019 (P. 166), concluant à un risque de récidive élevé pour des actes délictueux de toute nature. S'agissant du risque de fuite, le recourant est un ressortissant serbe, titulaire d’un permis d’établissement. Bien qu'il vivait en Suisse depuis plus de vingt ans et travaillait comme indépendant lors son interpellation, et qu'il soit père de deux enfants qu’il semblait toutefois voir de manière irrégulière avant son incarcération, au vu de l’extrême gravité des faits qui lui sont reprochés et de l’importante peine privative de liberté qu’il encourt, il demeure fortement à craindre qu’il cherche à se soustraire aux poursuites pénales engagées contre lui en se réfugiant en Serbie. Le maintien de Z. ______ en détention provisoire demeure ainsi justifié également pour ces motifs.</w:t>
      </w:r>
    </w:p>
    <w:p>
      <w:r>
        <w:rPr>
          <w:b/>
        </w:rPr>
        <w:t>E. 4.1</w:t>
      </w:r>
    </w:p>
    <w:p>
      <w:r>
        <w:t>Le recourant fait valoir que de nombreux nouveaux éléments viendraient exclure les risques de fuite et de réitération. Là encore, l'acte de recours ne précise pas quels seraient ces éléments.</w:t>
      </w:r>
    </w:p>
    <w:p>
      <w:r>
        <w:rPr>
          <w:b/>
        </w:rPr>
        <w:t>E. 4.2.1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4.2.2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w:t>
      </w:r>
    </w:p>
    <w:p>
      <w:r>
        <w:rPr>
          <w:b/>
        </w:rPr>
        <w:t>E. 4.3</w:t>
      </w:r>
    </w:p>
    <w:p>
      <w:r>
        <w:t>En l'espèce, c'est à juste titre que Tribunal des mesures de contrainte a retenu que les risques de fuite et de réitération demeuraient concrets, aucun élément nouveau n'étant venu remettre en question les considérants développés sur ces points dans les précédentes décisions de l'autorité intimée, ainsi que dans l'arrêt de la Cour de céans du 30 novembre 2017/830. S'agissant du risque de réitération, l'on peut désormais également se référer aux conclusions du rapport d’expertise psychiatrique déposée le</w:t>
      </w:r>
    </w:p>
    <w:p>
      <w:r>
        <w:rPr>
          <w:b/>
        </w:rPr>
        <w:t>E. 5.1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le tribunal doit les prononcer à la place de la détention provisoire ou pour des motifs de sûreté si elles permettent d’empêcher la concrétisation du risque (Schmocker, op. cit., n. 2 ad art. 237 CPP).</w:t>
      </w:r>
    </w:p>
    <w:p>
      <w:r>
        <w:rPr>
          <w:b/>
        </w:rPr>
        <w:t>E. 5.2</w:t>
      </w:r>
    </w:p>
    <w:p>
      <w:r>
        <w:t>En l’espèce, aucune mesure de substitution n’est à même de prévenir les risques retenus, le recourant n'en proposant au demeurant aucune.</w:t>
      </w:r>
    </w:p>
    <w:p>
      <w:r>
        <w:rPr>
          <w:b/>
        </w:rPr>
        <w:t>E. 6.1</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6.2</w:t>
      </w:r>
    </w:p>
    <w:p>
      <w:r>
        <w:t>En l’occurrence, les faits reprochés au recourant sont très graves et il s'expose à une peine privative de liberté d’une durée bien supérieure à celle de la détention provisoire subie à ce jour, respectivement à subir jusqu'au 15 novembre 2019. Le principe de la proportionnalité de la détention provisoire demeure dès lors respecté. Il y a lieu toutefois de relever qu’à cette date-là, l’enquête devra être clôturée.</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990 fr. (art. 20 al. 1 TFIP [Tarif des frais judiciaires de procédure et indemnités en matière pénale du 28 septembre 2010; BLV 312.03.1]), seront mis à la charge de Z. ______, qui succombe (art. 428 al. 1 CPP). Par ces motifs, la Chambre des recours pénale prononce : I. Le recours est rejeté. II. L’ordonnance du 13 août 2019 est confirmée. III. Les frais d’arrêt, par 990 fr. (neuf cent nonante francs), sont mis à la charge de Z. ______. IV. L’arrêt est exécutoire. Le président :               Le greffier : Du Le présent arrêt, dont la rédaction a été approuvée à huis clos, est notifié, par l'envoi d'une copie complète, à : - Me Charles-Henri de Luze, avocat (pour Z. ______), - Ministère public central, et communiqué à : - Me Robert Ayrton, avocat (pour X.________), - Me Yann Jaillet, avocat (pour [...]), - M. le Président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