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71 vom 22. Januar 2019</w:t>
      </w:r>
    </w:p>
    <w:p>
      <w:r>
        <w:t>VD Tribunal cantonal, 2019-01-22, FR</w:t>
      </w:r>
    </w:p>
    <w:p>
      <w:r>
        <w:rPr>
          <w:b/>
        </w:rPr>
        <w:t xml:space="preserve">Quelle: </w:t>
      </w:r>
      <w:r>
        <w:t>https://mcp.opencaselaw.ch/entscheid/vd_findinfo_D_cision___2019___71</w:t>
      </w:r>
    </w:p>
    <w:p>
      <w:r>
        <w:t>FR: VD_FINDINFO Décision / 2019 / 71 du 22 janvier 2019</w:t>
      </w:r>
    </w:p>
    <w:p>
      <w:r>
        <w:t>IT: VD_FINDINFO Décision / 2019 / 71 del 22 gennaio 2019</w:t>
      </w:r>
    </w:p>
    <w:p>
      <w:pPr>
        <w:pStyle w:val="Heading2"/>
      </w:pPr>
      <w:r>
        <w:t>Regeste</w:t>
      </w:r>
    </w:p>
    <w:p>
      <w:r>
        <w:t>NON-LIEU, MAXIME INQUISITOIRE, MISE EN DANGER DE LA VIE D'AUTRUI{ART. 129 CP} | 129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 Interjeté dans le délai légal auprès de l’autorité compétente par la partie plaignante, qui a la qualité pour recourir (cf. art. 382 al. 1 CPP), le recours est recevable. Les pièces nouvelles produites sont recevables (CREP 27 juin 2017/408 consid. 1, et les références citées).</w:t>
      </w:r>
    </w:p>
    <w:p>
      <w:r>
        <w:rPr>
          <w:b/>
        </w:rPr>
        <w:t>E. 2</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CPP, 2 e éd., Bâle 2016, nn. 4 et 8 ad art. 6 CPP et les références citées).</w:t>
      </w:r>
    </w:p>
    <w:p>
      <w:r>
        <w:rPr>
          <w:b/>
        </w:rPr>
        <w:t>E. 3.2</w:t>
      </w:r>
    </w:p>
    <w:p>
      <w:r>
        <w:t>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RS 101) et par l'art. 3 al. 2 let. c CPP, confère notamment à toute personne le droit de s'expliquer avant qu'une décision ne soit prise à son détriment. Le droit d'être entendu confère aussi, entre autres facultés, celle d'obtenir qu'il soit donné suite à ses offres de preuve pertinentes, lorsque cela est de nature à influer sur la décision à rendre. Le Code de procédure pénale prévoit qu’il n’y a pas lieu d'administrer des preuves sur des faits non pertinents, notoires, connus de l'autorité pénale ou déjà suffisamment prouvés (art. 139 al. 2 CPP). L’art. 318 al. 2 CPP prévoit en outre que le Ministère public ne peut écarter une réquisition de preuve que si celle-ci exige l’administration de preuves sur des faits non pertinents, notoires, connus de l’autorité pénale ou déjà suffisamment prouvés en droit.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Le droit de faire administrer des preuves suppose que le fait à prouver soit pertinent, que le moyen de preuve proposé soit nécessaire pour constater ce fait et que la demande soit proposée selon les formes et délais prescrits (ATF 140 I 285 consid. 6.3.1). Le refus d'instruire ne viole le droit d'être entendu que si l'appréciation anticipée de la pertinence du moyen de preuve offert, à laquelle le juge a ainsi procédé, est entachée d'arbitraire (TF 6B_509/2013 du 5 novembre 2013 et réf. citées).</w:t>
      </w:r>
    </w:p>
    <w:p>
      <w:r>
        <w:rPr>
          <w:b/>
        </w:rPr>
        <w:t>E. 4.1</w:t>
      </w:r>
    </w:p>
    <w:p>
      <w:r>
        <w:t>Le recourant soutient qu’une instruction aurait dû être ouverte contre inconnu, respectivement contre les tiers nommément désignés par lui comme auteurs présumés de l’infraction dénoncée. Le plaignant reproche au Procureur de ne pas avoir pris position sur ses moyens. Il lui fait aussi grief d’avoir tenu compte uniquement d’une analyse toxicologique du CHUV établie quelques jours après l’accident, en passant sous silence les résultats de la première analyse, effectuée selon lui à l’Hôpital d’Yverdon le 24 septembre 2017, qui confirmeraient sa version des faits. Il soutient enfin que l’instruction est lacunaire, faute pour le Procureur d’avoir entendu les personnes qui l’entouraient lors du tournoi d’échecs et les jeunes gens présents à cette occasion, dont le comportement à son égard aurait été étrange.</w:t>
      </w:r>
    </w:p>
    <w:p>
      <w:r>
        <w:rPr>
          <w:b/>
        </w:rPr>
        <w:t>E. 4.2</w:t>
      </w:r>
    </w:p>
    <w:p>
      <w:r>
        <w:t>Selon l'art. 129 CP (Code pénal suisse ; RS 311.0), se rend coupable de mise en danger de la vie d’autrui celui qui, sans scrupules,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(JdT 2016 III 97, jugement de la Cour d’appel pénale du Tribunal cantonal confirmé par TF 6B_876/2015 du 2 mai 2016 consid. 2.1, non publié aux ATF 142 IV 245, et les arrêts cités). Du point de vue subjectif, il faut que l'auteur ait agi intentionnellement et que l'acte ait été commis sans scrupules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6B_876/2015 du 2 mai 2016 précité consid. 2.1, non publié aux ATF 142 IV 245).</w:t>
      </w:r>
    </w:p>
    <w:p>
      <w:r>
        <w:rPr>
          <w:b/>
        </w:rPr>
        <w:t>E. 4.3</w:t>
      </w:r>
    </w:p>
    <w:p>
      <w:r>
        <w:t>En l’espèce, il ressort de la motivation de l’ordonnance que, pour le procureur, ce sont bien des médicaments ingérés par le recourant qui seraient à l’origine de la perte de maîtrise de son véhicule, à l’exclusion d’une substance qui aurait été mélangée à l’insu du plaignant au thé froid consommé lors du tournoi d’échec. Les moyens du recourant sont infirmés par le rapport établi par les Etablissements hospitaliers du Nord vaudois (cf. la pièce intitulée « Document médical de transmission CONFIDENTIEL », non numérotée, annexée à la P. 24). Il en ressort notamment qu’il avait déclaré, lors de son admission le jour des faits incriminés, avoir pris six comprimés de lorazépam à doses de 2,5 mg durant l’après-midi du 23 septembre 2017 pour parer au stress de son [...]. La présence, dans son sang, de lorazépam se situant dans la fourchette des valeurs thérapeutiques est confirmée par le rapport d’analyse du Centre universitaire romand de médecine légale du 31 octobre 2017 (P. 6, p. 3 et 4). Les dénégations du plaignant quant à sa consommation de benzodiazépines, soit de Temesta, sont donc infirmées par ses propos tenus lors de son admission à l’hôpital; le dosage mesuré est compatible avec un usage thérapeutique, voire quelque peu supérieur, ce qui peut toutefois s’expliquer par un surdosage délibéré. Pour le reste, c’est en vain que le recourant fait état de traces de cannabis dans les échantillons physiologiques prélevés. En effet, le rapport du 31 octobre 2017 précité se limite, outre la présence de benzodiazépines, à relever des traces de théobromine, pour exclure expressément toute autre substance, s’agissant singulièrement de cannabis. L’argumentation du recourant se révèle donc contradictoire et dénuée de toute crédibilité.</w:t>
      </w:r>
    </w:p>
    <w:p>
      <w:r>
        <w:rPr>
          <w:b/>
        </w:rPr>
        <w:t>E. 4.4</w:t>
      </w:r>
    </w:p>
    <w:p>
      <w:r>
        <w:t>De toute manière, on peine à discerner quelle infraction pénale serait envisageable même si l’on devait admettre la version des faits du recourant, étant précisé que celle de mise en danger de la vie d’autrui ne pourrait en tout état de cause pas être réalisée. En effet, sur la base de cette version des faits, seul un acte par dol éventuel pourrait se concevoir. Or, comme déjà relevé, cette forme d’intention est précisément exclue pour cette infraction (TF 6B_876/2015 du 2 mai 2016 précité consid. 2.1), ce qui commande d’en nier l’élément constitutif subjectif. Compte tenu des éléments qui précèdent, c’est à juste titre que le procureur a refusé d’entrer en matière sur la plainte.</w:t>
      </w:r>
    </w:p>
    <w:p>
      <w:r>
        <w:rPr>
          <w:b/>
        </w:rPr>
        <w:t>E. 5</w:t>
      </w:r>
    </w:p>
    <w:p>
      <w:r>
        <w:t>En définitive, le recours, manifestement mal fondé, doit être rejeté sans échange d’écritures (art. 390 al. 2 CPP) et l’ordonnance confirmée. Les frais de la procédure de recours, constitués en l’espèce du seul émolument d’arrêt (art. 422 al. 1 CPP), par 990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15 novembre 2018 est confirmée. III. Les frais d’arrêt, par 990 fr. (neuf cent nonante francs), sont mis à la charge du recourant. IV. L’arrêt est exécutoire. Le président :               Le greffier : Du Le présent arrêt, dont la rédaction a été approuvée à huis clos, est notifié, par l'envoi d'une copie complète, à : - Me Emile Rodriguez, avocat (pour M.________),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