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679 vom 16. August 2019</w:t>
      </w:r>
    </w:p>
    <w:p>
      <w:r>
        <w:t>VD Tribunal cantonal, 2019-08-16, FR</w:t>
      </w:r>
    </w:p>
    <w:p>
      <w:r>
        <w:rPr>
          <w:b/>
        </w:rPr>
        <w:t xml:space="preserve">Quelle: </w:t>
      </w:r>
      <w:r>
        <w:t>https://mcp.opencaselaw.ch/entscheid/vd_findinfo_D_cision___2019___679</w:t>
      </w:r>
    </w:p>
    <w:p>
      <w:r>
        <w:t>FR: VD_FINDINFO Décision / 2019 / 679 du 16 août 2019</w:t>
      </w:r>
    </w:p>
    <w:p>
      <w:r>
        <w:t>IT: VD_FINDINFO Décision / 2019 / 679 del 16 agosto 2019</w:t>
      </w:r>
    </w:p>
    <w:p>
      <w:pPr>
        <w:pStyle w:val="Heading2"/>
      </w:pPr>
      <w:r>
        <w:t>Regeste</w:t>
      </w:r>
    </w:p>
    <w:p>
      <w:r>
        <w:t>RÉCUSATION | 56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RSV 312.01]) est compétente pour statuer sur la demande de récusation présentée par Z.________, dans la mesure où cette dernière est dirigée contre un membre du Ministère public.</w:t>
      </w:r>
    </w:p>
    <w:p>
      <w:r>
        <w:rPr>
          <w:b/>
        </w:rPr>
        <w:t>E. 2.1</w:t>
      </w:r>
    </w:p>
    <w:p>
      <w:r>
        <w:t>et l’arrêt cité). En outre, un juge, respectivement un procureur, ne peut pas être récusé pour le simple motif que, dans une procédure antérieure, il a eu à trancher en défaveur du requérant (ibidem). Dans la situation dans laquelle le même procureur est amené à instruire successivement des plaintes réciproques, le Tribunal fédéral a jugé qu’il y a matière à récusation lorsque, par son attitude ou ses déclarations précédentes, le magistrat a clairement fait apparaître qu'il ne sera pas capable d'aborder la seconde procédure en faisant éventuellement abstraction des opinions qu'il a précédemment émises (TF 1B_430/2015 du 5 janvier 2016, consid. 3.2 ; TF 1B_328/2015 du 11 novembre 2015 consid. 3.2).</w:t>
      </w:r>
    </w:p>
    <w:p>
      <w:r>
        <w:rPr>
          <w:b/>
        </w:rPr>
        <w:t>E. 2.1.1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w:t>
      </w:r>
    </w:p>
    <w:p>
      <w:r>
        <w:rPr>
          <w:b/>
        </w:rPr>
        <w:t>E. 2.1.2</w:t>
      </w:r>
    </w:p>
    <w:p>
      <w:r>
        <w:t>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1B_46/2016 du 29 avril 2016 consid. 3.1 et les réf. citées).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 ATF 138 IV 142 consid. 2.2.2 ; TF 1B_415/2011 du 25 octobre 2011 ; Verniory, in Commentaire romand, Code de procédure pénale suisse, 2011, n. 64 ad art. 56 CPP). Dans ce cadre, ni les art. 29 et 30 Cst., ni l'art. 6 par. 1 CEDH ne confèrent au prévenu une protection particulière lui permettant de se plaindre de l'attitude du ministère public et des opinions exprimées par celui-ci durant les débats (ATF 124 I 76 consid. 2 ; ATF 118 Ia 95 consid. 3b ; ATF 112 Ia 142 consid. 2a et les arrêts cités).</w:t>
      </w:r>
    </w:p>
    <w:p>
      <w:r>
        <w:rPr>
          <w:b/>
        </w:rPr>
        <w:t>E. 2.1.3</w:t>
      </w:r>
    </w:p>
    <w:p>
      <w:r>
        <w:t>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(TF 1B_105/2013 du 21 mai 2013 consid.</w:t>
      </w:r>
    </w:p>
    <w:p>
      <w:r>
        <w:rPr>
          <w:b/>
        </w:rPr>
        <w:t>E. 2.2</w:t>
      </w:r>
    </w:p>
    <w:p>
      <w:r>
        <w:t>En l’espèce, le requérant prétend que dans la première affaire, la procureure aurait été la porte-parole des mensonges de V.________, pris fait et cause pour elle, adopté une conception du viol et de la contrainte sexuelle à l’opposé des définitions légales et été incapable de revoir sa position, ce malgré son acquittement prononcé par le Tribunal correctionnel. Or, ces reproches sont injustifiés. En effet, la procureure n’a pas pris parti pour V.________, mais a relevé une série d’éléments qui lui laissaient penser qu’ils corroboraient les dires de la victime : le témoignage constant de la fille aînée du couple, alors âgée de 16 ans, qui a notamment déclaré que son père se masturbait en sa présence ; le rapport d’expertise psychiatrique qui décrit le requérant comme souffrant d’un trouble du développement psychosexuel pouvant être considéré comme grave, consistant en particulier en une inadéquation du comportement par déficit d’empathie à l’égard de la partenaire ; les déclarations du requérant lui-même qui a admis que son épouse refusait les rapport sexuels mais faisait la différence entre un « petit non » et un « non répété » ou qu’il avait l’habitude, en regardant la télévision, de mettre sa main entre son training et son slip, et que cela pouvait être équivoque. Ces éléments ont été pesés par le Tribunal correctionnel puis par la Cour d’appel pénale qui, en substance, ont conclu qu’il existait un doute sur la question de savoir si les comportements de Z.________ pouvaient être qualifiés de violences, de contrainte, ainsi que sur la réalisation de l’aspect subjectif. Dès lors, dans la première affaire, la procureure n’a objectivement qu’accompli son travail dans une situation factuelle complexe. Dans l’acte d’appel, elle a repris toute une série d’éléments factuels destinés à convaincre qu’il n’y avait pas de doute possible, rien de plus. En outre, ce n’est pas le Ministère public qui a recouru au Tribunal fédéral, mais l’ex‑épouse. Il n’y a dès lors pas d’indice de partialité. En outre, il ne s’agit en l’occurrence pas d’une situation où dans une même affaire, une décision du ministère public est annulée et où ce dernier doit reprendre le tout. La plainte pour calomnie et diffamation suppose un autre examen de la situation, qui n’a pas encore été fait. Le simple fait que la procureure ait envoyé un avis de prochaine clôture ne suffit pas pour en déduire une apparence de prévention. Si une récusation devait être admise dans ce type d’affaire, cela signifierait que toutes les procédures de dénonciation calomnieuse parallèles à une enquête devraient être soumises à un autre procureur. Ainsi, rien ne permettant en l’état de penser que la procureure n’observe pas une stricte impartialité, les griefs du requérant à son endroit se révèlent infondés.</w:t>
      </w:r>
    </w:p>
    <w:p>
      <w:r>
        <w:rPr>
          <w:b/>
        </w:rPr>
        <w:t>E. 3</w:t>
      </w:r>
    </w:p>
    <w:p>
      <w:r>
        <w:t>En définitive, la demande de récusation présentée par Z.________ contre D.________, procureure au Ministère public central, division affaires spéciales, manifestement mal fondée, doit être rejetée sans autre échange d'écritures (art. 390 al. 2 CPP). Les frais de la présente procédure, constitués en l’espèce du seul émolument de décision (art. 422 al. 1 CPP), par 880 fr. (art. 20 al. 1 TFIP [Tarif des frais de procédure et indemnités en matière pénale du 28 septembre 2010 ; BLV 312.03.1]), seront mis à la charge du requérant, conformément à l’art. 59 al. 4 CPP. Par ces motifs, la Chambre des recours pénale prononce : I. La demande de récusation est rejetée. II. Les frais de décision, par 880 fr. (huit cent huitante francs), sont mis à la charge de Z.________. III. La décision est exécutoire. Le président :               Le greffier : Du Le présent arrêt, dont la rédaction a été approuvée à huis clos, est notifié, par l'envoi d'une copie complète, à : - Me Cédric Aguet (pour Z.________), - Ministère public central, et communiqué à : ‑ Mme la procureure du Ministère public central, division affaires spéciales, - Me François Chanson (pour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