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673 vom 15. August 2019</w:t>
      </w:r>
    </w:p>
    <w:p>
      <w:r>
        <w:t>VD Tribunal cantonal, 2019-08-15, FR</w:t>
      </w:r>
    </w:p>
    <w:p>
      <w:r>
        <w:rPr>
          <w:b/>
        </w:rPr>
        <w:t xml:space="preserve">Quelle: </w:t>
      </w:r>
      <w:r>
        <w:t>https://mcp.opencaselaw.ch/entscheid/vd_findinfo_D_cision___2019___673</w:t>
      </w:r>
    </w:p>
    <w:p>
      <w:r>
        <w:t>FR: VD_FINDINFO Décision / 2019 / 673 du 15 août 2019</w:t>
      </w:r>
    </w:p>
    <w:p>
      <w:r>
        <w:t>IT: VD_FINDINFO Décision / 2019 / 673 del 15 agosto 2019</w:t>
      </w:r>
    </w:p>
    <w:p>
      <w:pPr>
        <w:pStyle w:val="Heading2"/>
      </w:pPr>
      <w:r>
        <w:t>Regeste</w:t>
      </w:r>
    </w:p>
    <w:p>
      <w:r>
        <w:t>DÉTENTION POUR DES MOTIFS DE SÛRETÉ, RISQUE DE RÉCIDIVE, CONTRAINTE SEXUELLE, INFRACTIONS CONTRE L'INTÉGRITÉ SEXUELLE, ANTÉCÉDENT | 221 al. 1 let. c CPP (CH), 221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le détenu qui a qualité pour recourir (art. 382 al. 1 CPP) et dans les formes prescrites (art. 385 al. 1 CPP), le recours est recevable.</w:t>
      </w:r>
    </w:p>
    <w:p>
      <w:r>
        <w:rPr>
          <w:b/>
        </w:rPr>
        <w:t>E. 2</w:t>
      </w:r>
    </w:p>
    <w:p>
      <w:r>
        <w:t>CPP).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L’art. 229 al. 1 CPP prévoit que, sur demande écrite du ministère public, le tribunal des mesures de contrainte statue sur la détention pour des motifs de sûreté lorsqu'elle fait suite à une détention provisoire.</w:t>
      </w:r>
    </w:p>
    <w:p>
      <w:r>
        <w:rPr>
          <w:b/>
        </w:rPr>
        <w:t>E. 3.1</w:t>
      </w:r>
    </w:p>
    <w:p>
      <w:r>
        <w:t>Le recourant conteste la forte présomption de culpabilité retenue par le Tribunal des mesures de contrainte s’agissant des infractions sexuelles, pour lesquelles il clame encore son innocence. Il prétend que le Ministère public l’aurait renvoyé devant une cour criminelle uniquement sur la base de déclarations peu convaincantes de la plaignante.</w:t>
      </w:r>
    </w:p>
    <w:p>
      <w:r>
        <w:rPr>
          <w:b/>
        </w:rPr>
        <w:t>E. 3.2</w:t>
      </w:r>
    </w:p>
    <w:p>
      <w:r>
        <w:t>La mise respectivement le maintien en détention provisoire ou en détention pour des motifs de sûreté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Il doit ainsi exister des charges suffisantes à l’égard de l’intéressé, soit de sérieux soupçons de culpabilité,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Jugendstrafprozess-ordnung, 2 e éd., Bâle 2014, n. 3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 ATF 137 IV 122 consid. 3.2 ; TF 1B_372/2017 du 26 septembre 2017 consid. 2.1 ; Schmocker, op. cit., n. 8 ad art. 221 CPP). En d’autres termes, les soupçons doivent se renforcer plus l’instruction avance et plus l’issue du jugement au fond approche (TF 1B_344/2017 du 20 septembre 2017 consid. 4.1 et la réf.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 TF 1B_157/2018 du 26 avril 2018 consid. 3.1 et la réf. citée).</w:t>
      </w:r>
    </w:p>
    <w:p>
      <w:r>
        <w:rPr>
          <w:b/>
        </w:rPr>
        <w:t>E. 3.3</w:t>
      </w:r>
    </w:p>
    <w:p>
      <w:r>
        <w:t>En l'espèce, aucun élément nouveau à décharge n'étant intervenu depuis lors, la Cour de céans se réfère à ses arrêts du 28 mars 2019 (n o 244 [consid. 3]) et du 3 juin 2019 (n o 454 [consid. 3.3]) dans lesquels l’existence de soupçons suffisants à l’encontre du prévenu a été retenue et qui conservent toute leur pertinence, d’autant plus que le dernier de ces arrêts a été confirmé par le Tribunal fédéral le 31 juillet 2019. Ainsi, les juges fédéraux ont considéré qu’il existait des indices suffisants s’agissant également de l’infraction de contrainte sexuelle (TF 1B_255/2019 du 31 juillet 2019 consid. 3.2). Ils ont relevé que, contrairement à ce que soutient le recourant, les graves soupçons de culpabilité ne résultaient pas exclusivement des déclarations crédibles de la victime, mais également du témoignage du voisin du couple, de la propension du recourant à la violence envers ses compagnes et de ses antécédents judiciaires. Force est de constater que le grief du recourant est infondé et doit être rejeté.</w:t>
      </w:r>
    </w:p>
    <w:p>
      <w:r>
        <w:rPr>
          <w:b/>
        </w:rPr>
        <w:t>E. 4.1</w:t>
      </w:r>
    </w:p>
    <w:p>
      <w:r>
        <w:t>Le recourant conteste le risque de réitération. Il soutient qu’il n’aurait pas d’antécédent pour des crimes sexuels et que la plaignante se trouverait à l’étranger. De plus, il propose de continuer sa thérapie à l’extérieur de la prison, ce qui écarterait tout risque de récidive.</w:t>
      </w:r>
    </w:p>
    <w:p>
      <w:r>
        <w:rPr>
          <w:b/>
        </w:rPr>
        <w:t>E. 4.2</w:t>
      </w:r>
    </w:p>
    <w:p>
      <w:r>
        <w:t>En vertu de l'art. 221 al. 1 let. c CPP, la détention provisoire ou la détention pour des motifs de sûreté peuvent être ordonnées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3.2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1B_3/2019 du 17 janvier 2019 consid. 3.1).</w:t>
      </w:r>
    </w:p>
    <w:p>
      <w:r>
        <w:rPr>
          <w:b/>
        </w:rPr>
        <w:t>E. 4.3</w:t>
      </w:r>
    </w:p>
    <w:p>
      <w:r>
        <w:t>En l’espèce, les arguments du recourant avaient déjà été discutés au consid. 3.3 de l’arrêt de la Chambre de céans du 3 juin 2019 et il y a lieu de s’y référer pour éviter d’inutiles redites, aucun élément nouveau n’étant mis en évidence par le recourant. Ainsi, le risque de récidive demeure pour les mêmes motifs qui ont été confirmés par le Tribunal fédéral dans son arrêt du 31 juillet 2019 (consid. 4.2). Les juges fédéraux ont encore relevé que les experts avaient indiqué dans leur rapport que, même si le traitement préconisé était mis en place, les chances de succès resteraient relatives notamment au vu des faibles capacités d’introspection du prévenu et de sa tendance à projeter la responsabilité de ses délits sur le monde extérieur (cf. rapport d’expertise du 9 janvier 2019, p. 16 s.). Par ailleurs, au vu des condamnations judiciaires encore récentes du recourant (notamment pour injure, menaces et agression) ainsi que des conclusions de l’expertise – selon lesquelles ce dernier présentait un risque élevé de récidive notamment pour des violences physiques et sexuelles à l’encontre de ces compagnes –, l’appréciation de la Chambre de céans n’apparaissait pas critiquable. On relèvera encore que, quand bien même la victime se trouverait à l’étranger, le recourant pourrait toujours se rendre auprès d’elle ou celle-ci revenir en Suisse. En outre, vu sa propension à la violence relevée par les experts, le recourant pourrait s’en prendre à une autre personne. On relèvera encore que le recourant présente un danger pour la circulation routière, compte tenu de ses antécédents récents pour de telles infractions (cf. sa condamnation en février 2018). Partant, le risque de récidive justifie le maintien du recourant en détention pour des motifs de sûreté. Les conditions de l’art. 221 al. 1 CPP étant alternatives, l’existence du risque de réitération dispense d’examiner si la détention pour des motifs de sûreté s’impose également en raison d’un risque de fuite (TF 1B_249/2011 du 7 juin 2011 consid. 2.4 ; CREP 19 décembre 2017/851 consid. 5 et réf. cit. ; CREP 21 avril 2015/260 consid. 3.3 et réf. cit.).</w:t>
      </w:r>
    </w:p>
    <w:p>
      <w:r>
        <w:rPr>
          <w:b/>
        </w:rPr>
        <w:t>E. 5.1</w:t>
      </w:r>
    </w:p>
    <w:p>
      <w:r>
        <w:t>Le recourant soutient implicitement que le principe de la proportionnalité aurait été violé, dès lors qu’il se trouve en détention depuis plus d’une année. Il propose des mesures de substitution à la détention et prétend que, toutes les infractions commises étant liées à la prise de substances psychotropes, le risque de réitération se confinerait à zéro s’il était libéré avec une obligation d’abstinence vérifiée.</w:t>
      </w:r>
    </w:p>
    <w:p>
      <w:r>
        <w:rPr>
          <w:b/>
        </w:rPr>
        <w:t>E. 5.2</w:t>
      </w:r>
    </w:p>
    <w:p>
      <w:r>
        <w:t>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133 I 168 consid. 4.1 ; ATF 132 I 21 consid. 4.1 ; TF 1B_411/2011 du 31 août 2011 consid. 4.1). Toutefois, le fait que la peine encourue puisse être assortie du sursis, total ou partiel, n'est pas déterminant sous l'angle de la proportionnalité (ATF 133 I 270 consid. 3.4.2). 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Cette disposition est une concrétisation du principe de la proportionnalité (art. 36 al. 3 Cst.) qui impose d'examiner les possibilités de mettre en œuvre d'autres solutions moins dommageables que la détention (ATF 141 IV 190 consid. 3.1). L'art. 237 al. 2 CPP permet ainsi, entre autres mesures de substitution susceptibles d'entrer ici en considération, l'assignation à résidence. L'art. 237 al. 3 CPP précise que, pour surveiller l'exécution de ces mesures, le tribunal peut ordonner l'utilisation d'appareils techniques qui peuvent être fixés à la personne sous surveillance.</w:t>
      </w:r>
    </w:p>
    <w:p>
      <w:r>
        <w:rPr>
          <w:b/>
        </w:rPr>
        <w:t>E. 5.3</w:t>
      </w:r>
    </w:p>
    <w:p>
      <w:r>
        <w:t>En l’espèce, il y a lieu de constater, une nouvelle fois, que les mesures de substitution évoquées par le prévenu ne sont toujours pas propres à prévenir efficacement le risque de réitération et qu’aucune autre mesure de substitution n’est susceptible de parer à ce risque efficacement, comme l’a encore constaté le Tribunal fédéral dans son arrêt du 31 juillet 2019 à son considérant 4.2. Par surabondance et au vu de la gravité des faits reprochés au prévenu, il convient de faire preuve de la plus grande prudence, notamment pour protéger l’intégrité physique et sexuelle d’autrui. Quant à la durée de la détention pour motifs de sûreté, la jurisprudence de la Chambre de céans tient comme admissible le laps de temps de 4 mois dans l’attente de la fixation de l’audience, de la tenue des débats et du jugement (CREP 29 juillet 2019/587). En l’espèce, le premier juge a bien fixé un délai de 4 mois depuis la notification de l’acte d’accusation, ce qui ne prête pas le flanc à la critique. De toute manière, compte tenu de la gravité des faits reprochés au recourant, les infractions en cause pouvant être retenues en concours, ainsi que des nombreux antécédents de ce dernier, celui-ci s'expose concrètement à une peine d’une durée supérieure à celle de la détention qu’il aura subie jusqu’au terme de la détention pour des motifs de sûreté ordonnée par le premier juge. Force est ainsi de constater que le principe de la proportionnalité demeure respecté.</w:t>
      </w:r>
    </w:p>
    <w:p>
      <w:r>
        <w:rPr>
          <w:b/>
        </w:rPr>
        <w:t>E. 6</w:t>
      </w:r>
    </w:p>
    <w:p>
      <w:r>
        <w:t>Il résulte de ce qui précède que le recours, manifestement mal fondé, doit être rejeté sans échange d'écritures (art. 390 al. 2 CPP) et l'ordonnance du 22 juillet 2019 confirmée. Les frais de la procédure de recours, constitués en l’espèce de l’émolument d'arrêt, par 1’540 fr. (art. 20 al. 1 TFIP [tarif des frais judiciaires de procédure et indemnités en matière pénale du 28 septembre 2010 ; BLV 312.03.1]), et des frais imputables à la défense d’office (art. 422 al. 1 et 2 let. a CPP), fixés à 540 fr., auxquels il convient d’ajouter des débours forfaitaires à concurrence de 2% (cf. art. 26b TFIP qui renvoie à l'art. 3bis RAJ [règlement sur l’assistance judiciaire en matière civile du 7 décembre 2010 ; BLV 211.02.3]), par 10 fr. 80, plus la TVA au taux de 7,7%, par 42 fr. 40, soit à 593 fr. 20 au total, seront mis à la charge du prévenu,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22 juillet 2019 est confirmée. III. L’indemnité allouée au défenseur d’office du recourant, Me Regina Andrade Ortuno, est fixée à 593 fr. 20 (cinq cent nonante-trois francs et vingt centimes). IV. Les frais d’arrêt, par 1’540 fr. (mille cinq cent quarante francs), ainsi que l’indemnité due au défenseur d’office de X.________, par 593 fr. 20 (cinq cent nonante-trois francs et vingt centimes), sont mis à la charge de ce dernier. V. Le remboursement à l'Etat de l'indemnité allouée au chiffre III ci-dessus ne sera exigible que pour autant que la situation économique de X.________ le permette. VI. L’arrêt est exécutoire. Le président :               La greffière : Du Le présent arrêt, dont la rédaction a été approuvée à huis clos, est notifié, par l'envoi d'une copie complète, à : - Me Regina Andrade Ortuno, avocate (pour X.________), - Ministère public central, et communiqué à : - Mme la Présidente du Tribunal des mesures de contrainte, - Mme la Procureure du Ministère public du Nord vaudois, - Me Manuela Ryter Godel, avocate (pour [...]), - Tribunal d’arrondissement de la Broye et du Nord vaudois,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