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663 vom 15. August 2019</w:t>
      </w:r>
    </w:p>
    <w:p>
      <w:r>
        <w:t>VD Tribunal cantonal, 2019-08-15, FR</w:t>
      </w:r>
    </w:p>
    <w:p>
      <w:r>
        <w:rPr>
          <w:b/>
        </w:rPr>
        <w:t xml:space="preserve">Quelle: </w:t>
      </w:r>
      <w:r>
        <w:t>https://mcp.opencaselaw.ch/entscheid/vd_findinfo_D_cision___2019___663</w:t>
      </w:r>
    </w:p>
    <w:p>
      <w:r>
        <w:t>FR: VD_FINDINFO Décision / 2019 / 663 du 15 août 2019</w:t>
      </w:r>
    </w:p>
    <w:p>
      <w:r>
        <w:t>IT: VD_FINDINFO Décision / 2019 / 663 del 15 agosto 2019</w:t>
      </w:r>
    </w:p>
    <w:p>
      <w:pPr>
        <w:pStyle w:val="Heading2"/>
      </w:pPr>
      <w:r>
        <w:t>Regeste</w:t>
      </w:r>
    </w:p>
    <w:p>
      <w:r>
        <w:t>DÉTENTION PROVISOIRE, RISQUE DE FUITE, RISQUE DE RÉCIDIVE, MESURE DE SUBSTITUTION À LA DÉTENTION, PROPORTIONNALITÉ | 212 al. 3 CPP (CH), 221 al. 1 let. a CPP (CH), 221 al. 1 let. c CPP (CH), 237 CPP (CH)</w:t>
      </w:r>
    </w:p>
    <w:p>
      <w:pPr>
        <w:pStyle w:val="Heading2"/>
      </w:pPr>
      <w:r>
        <w:t>Erwägungen</w:t>
      </w:r>
    </w:p>
    <w:p>
      <w:r>
        <w:rPr>
          <w:b/>
        </w:rPr>
        <w:t>E. 1</w:t>
      </w:r>
    </w:p>
    <w:p>
      <w:r>
        <w:t>Interjeté dans le délai légal (art. 396 al. 1 CPP [Code de procédure pénale suisse du 5 octobre 2007 ; RS 312.0]) contre une ordonnance du Tribunal des mesures de contrainte dans un cas prévu par le CPP (art. 222 et 393 al. 1 let. c CPP), par un détenu qui a qualité pour recourir (art. 222 et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w:t>
      </w:r>
    </w:p>
    <w:p>
      <w:r>
        <w:rPr>
          <w:b/>
        </w:rPr>
        <w:t>E. 2.2</w:t>
      </w:r>
    </w:p>
    <w:p>
      <w:r>
        <w:t>et la référence citée). La gravité de l'infraction ne peut pas, à elle seule, justifier la prolongation de la détention, même si elle permet souvent de présumer un danger de fuite en raison de l'importance de la peine dont le prévenu est menacé (ATF 125 I 60 consid. 3a p. 62 ; ATF 117 Ia 69 consid. 4a p. 70). Il est sans importance que l'extradition du prévenu puisse être obtenue (ATF 123 I 31 consid. 3d pp. 36 s.).</w:t>
      </w:r>
    </w:p>
    <w:p>
      <w:r>
        <w:rPr>
          <w:b/>
        </w:rPr>
        <w:t>E. 3.1</w:t>
      </w:r>
    </w:p>
    <w:p>
      <w:r>
        <w:t>Selon le recourant, l'ordonnance entreprise violerait son droit d'être entendu en raison de sa motivation trop succincte. Le Tribunal des mesures de contrainte aurait omis de traiter certains moyens soulevés par Z.________. Elle n'aurait notamment pas examiné tous les éléments qui devaient l'être pour apprécier le risque de fuite, ni l'effet combiné des mesures de substitution tel que préconisé par le recourant dans sa demande de libération.</w:t>
      </w:r>
    </w:p>
    <w:p>
      <w:r>
        <w:rPr>
          <w:b/>
        </w:rPr>
        <w:t>E. 3.2</w:t>
      </w:r>
    </w:p>
    <w:p>
      <w:r>
        <w:t>Le droit d’être entendu, garanti à l'art. 29 al. 2 Cst. (Constitution fédérale de la Confédération suisse du 18 avril 1999 ; RS 101), comporte celui de recevoir une décision suffisamment motivée, c'est-à-dire permettant à la personne visée de la contester à bon escient (ATF 143 III 65 consid. 5.2 ; ATF 129 I 232 consid. 3.2 ; ATF 125 II 369 consid. 2c) et à l'autorité de recours d'exercer utilement son contrôle (ATF 126 I 97 consid. 2b ; ATF 124 II 146). Pour satisfaire à ces exigences, l’autorité doit mentionner, au moins brièvement, les motifs qui l'ont guidée et sur lesquels elle a fondé sa décision, de manière à ce que l'intéressé puisse se rendre compte de la portée de celle-ci et l'attaquer en connaissance de cause ; elle n’est cependant pas tenue de discuter tous les arguments soulevés par les parties mais peut se limiter à ceux qu’elle juge pertinents (ATF 143 III 65 précité ; ATF 142 III 433 consid. 4.3.2 ; TF 6B_946/2018 du 15 novembre 2018 consid. 1.1). Le droit d'être entendu est une garantie constitutionnelle de caractère formel, dont la violation doit entraîner l'annulation de la décision, indépendamment des chances de succès du recours sur le fond (ATF 135 I 187 consid. 2.2 ;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142 II 218 consid. 2.8.1 et les références citées ; TF 1B_532/2018 du 19 décembre 2018 consid. 5.1).</w:t>
      </w:r>
    </w:p>
    <w:p>
      <w:r>
        <w:rPr>
          <w:b/>
        </w:rPr>
        <w:t>E. 3.3</w:t>
      </w:r>
    </w:p>
    <w:p>
      <w:r>
        <w:t>En l’espèce, s’agissant tout d’abord des soupçons suffisants de culpabilité à l’encontre du prévenu, le Tribunal des mesures de contrainte s’est intégralement référé aux considérants développés dans ses précédentes ordonnances, ainsi qu’aux arrêts de la Cour de céans et du Tribunal fédéral. Ensuite, quant aux risques de fuite et de réitération, ils ont été examinés par l’autorité inférieure. Enfin, le Tribunal des mesures de contrainte s’est déterminé sur les mesures de substitution requises par Z.________. Ainsi, force est de constater que l’ordonnance rendue par le Tribunal des mesures de contrainte répond aux exigences minimales de motivation évoquées ci-dessus, de sorte qu’on ne discerne aucune violation du droit d’être entendu du recourant, celui-ci ayant au demeurant été en mesure d’attaquer l’ordonnance litigieuse en connaissance de cause. Quoi qu’il en soit, même en admettant l’existence d’un défaut de motivation, celui-ci serait guéri en procédure de recours, l'intéressé ayant la possibilité de s'exprimer et de recevoir une décision motivée de la Chambre des recours pénale, qui dispose d'un pouvoir d'examen complet en fait et en droit (art. 393 al. 2 CPP ; CREP 10 août 2018/603 consid. 2.2 et les références citées). Force est en outre de considérer qu’un renvoi à l’autorité inférieure provoquerait un allongement inutile de la procédure. Partant, ce moyen doit être rejeté.</w:t>
      </w:r>
    </w:p>
    <w:p>
      <w:r>
        <w:rPr>
          <w:b/>
        </w:rPr>
        <w:t>E. 4</w:t>
      </w:r>
    </w:p>
    <w:p>
      <w:r>
        <w:t>A l’instar du Tribunal des mesures de contrainte, la Cour de céans considère que la condition préalable de graves soupçons de culpabilité est réalisée, se référant intégralement aux considérants développés dans son arrêt du 12 juin 2018 (n o 445), ainsi que dans celui du Tribunal fédéral (TF 1B_308/2018), qui conservent toute leur pertinence.</w:t>
      </w:r>
    </w:p>
    <w:p>
      <w:r>
        <w:rPr>
          <w:b/>
        </w:rPr>
        <w:t>E. 5.1</w:t>
      </w:r>
    </w:p>
    <w:p>
      <w:r>
        <w:t>Le recourant conteste l’existence d’un risque de fuite. Il précise notamment qu’il est au bénéfice d'un permis F, soit une admission à titre provisoire en Suisse, depuis 2010, donc depuis près de dix ans, qu’il n'a plus aucun lien avec son pays d'origine, dans lequel il ne souhaite pas retourner, risquant d'ailleurs d'être inquiété par les autorités congolaise en raison de ses activités politiques passées, et qu’il ne dispose d'aucun titre de séjour dans un autre pays européen dans lequel il pourrait s'établir pour tenter d'échapper à la poursuite pénale. Le recourant ajoute qu’après les années qu’il a passées en Suisse, il a pu tisser des liens et dispose d'un réseau de connaissances, qu'il n'a pas dans d'autres pays, tout en rappelant qu'il a toujours entretenu une relation étroite avec [...], mère de sa fille [...], née le [...] 2018, et qu’il souhaite pouvoir développer dans le futur sa relation paternelle au sein d'une famille.</w:t>
      </w:r>
    </w:p>
    <w:p>
      <w:r>
        <w:rPr>
          <w:b/>
        </w:rPr>
        <w:t>E. 5.2</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p. 70 et la jurisprudence citée). Les circonstances particulières de chaque cas d'espèce doivent être prises en compte (TF 1B_393/2015 du 9 décembre 2015 consid.</w:t>
      </w:r>
    </w:p>
    <w:p>
      <w:r>
        <w:rPr>
          <w:b/>
        </w:rPr>
        <w:t>E. 5.3</w:t>
      </w:r>
    </w:p>
    <w:p>
      <w:r>
        <w:t>En l’espèce, le statut de séjour du recourant, ressortissant congolais au bénéfice d’une admission provisoire, est précaire. Si Z.________ invoque son intégration et l'existence d'un cercle social, il n'en apporte cependant aucune démonstration. Il ne saurait pas non plus se prévaloir de ses liens familiaux. En effet, vu la procédure pénale ouverte à la suite du décès de son fils de moins d'une année et dans laquelle il est prévenu de violation du devoir d'assistance ou d'éducation, de lésions corporelles graves et d'homicide, il n'a pas le droit de vivre avec sa compagne actuelle – certes détentrice d'un permis C – et leur fille, laquelle n'a de plus pas encore été reconnue. En outre, le recourant ne paraissait pas avoir de véritable domicile et on ne peut dès lors garantir qu’il disposerait d'un lieu de résidence stable en Suisse, respectivement qu'il aurait la volonté d'y rester à long terme. S’y ajoute le fait qu’il n’a plus de travail à la suite de son licenciement. Le recourant n'a ainsi pas de réelles attaches en Suisse. De plus, il est actuellement prévenu de deux actes extrêmement graves commis au détriment de personnes particulièrement vulnérables, à savoir un enfant de moins d’un an et une personne nonagénaire atteinte dans sa santé. Le premier est décédé et la seconde a vu son pronostic vital engagé. Plus qu'avant, le recourant est conscient de l’extrême gravité des infractions qui lui sont reprochées et de la peine qui pourrait être prononcée en cas de condamnation. Dans ces circonstances, le risque qu’il se soustraie aux poursuites engagées contre lui en quittant la Suisse – pour rejoindre son pays d’origine ou un Etat tiers – ou en passant dans la clandestinité est indéniable. Ainsi, le risque de fuite est manifestement toujours réalisé.</w:t>
      </w:r>
    </w:p>
    <w:p>
      <w:r>
        <w:rPr>
          <w:b/>
        </w:rPr>
        <w:t>E. 6.1</w:t>
      </w:r>
    </w:p>
    <w:p>
      <w:r>
        <w:t>Le recourant conteste l’existence d’un risque de réitération. Il invoque que les actes qu’on lui reproche sont différents dans la mesure où ils touchent d'une part son enfant, soit son entourage proche, et d'autre part une tierce personne, qui ne faisait pas partie de son cercle familial, ni de son cercle de connaissances. Les circonstances étant différentes, on ne saurait en déduire, selon lui, un risque de récidive généralisé, mais tout au plus contextuel. Or, un tel risque contextuel ne serait pas susceptible de se reproduire en l'état, le recourant n'étant plus amené à s'occuper d'un enfant ni de personnes en soins. Z.________ ajoute que les experts ont été nuancés dans leur appréciation. Ces derniers ont fait référence à une déstabilisation psychique lors d'événements stressants, par exemple lors de cris vécus comme insupportables, et ont évoqué le stress possible lié au fait de s'occuper de personnes en situation de dépendance. Or, le recourant prétend que le fait qu’il se retrouve dans des situations similaires resterait hypothétique.</w:t>
      </w:r>
    </w:p>
    <w:p>
      <w:r>
        <w:rPr>
          <w:b/>
        </w:rPr>
        <w:t>E. 6.2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2.6 et 2.7, et les références citées).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2.8, et les références citées). Le risque de récidive peut également se fonder sur les infractions faisant l'objet de la procédure pénale en cours, si le prévenu est fortement soupçonné – avec une probabilité confinant à la certitude – de les avoir commises (ATF 137 IV 84 consid. 3.2 et les références citées, JdT 2011 IV 325).</w:t>
      </w:r>
    </w:p>
    <w:p>
      <w:r>
        <w:rPr>
          <w:b/>
        </w:rPr>
        <w:t>E. 6.3</w:t>
      </w:r>
    </w:p>
    <w:p>
      <w:r>
        <w:t>En l’occurrence, le risque de réitération retenu et développé dans l’arrêt de la Cour de céans du 12 juin 2018 est à l’évidence toujours concret. Les actes qui paraissent pouvoir être reprochés au recourant sont extrêmement graves et ont été commis au détriment de personnes particulièrement vulnérables, à savoir un enfant de moins d’un an et une personne nonagénaire atteinte dans sa santé. Le premier est décédé et la seconde a vu son pronostic vital engagé. En outre, dans leur rapport du 28 janvier 2019, les experts psychiatres ont posé le diagnostic de modification durable de la personnalité après une expérience de catastrophe, ainsi que d’un trouble dépressif récurrent, sans précision, et que, dans l’hypothèse où l’intéressé se serait rendu coupable des faits qui lui sont reprochés, le risque de récidive d’actes portant atteinte à l’intégrité d’une personne devait être considéré comme élevé dans les situations susceptibles de générer des angoisses. Dans ces circonstances, le risque de réitération est patent.</w:t>
      </w:r>
    </w:p>
    <w:p>
      <w:r>
        <w:rPr>
          <w:b/>
        </w:rPr>
        <w:t>E. 7.1</w:t>
      </w:r>
    </w:p>
    <w:p>
      <w:r>
        <w:t>Z.________ requiert sa libération immédiate au profit de mesures de substitution. Pour pallier le risque de réitération envisagé, le recourant propose une obligation de se soumettre à un suivi psychothérapeutique régulier, une interdiction d’entrer en contact avec des personnes déterminées et d’exercer des activités professionnelles et bénévoles dans des domaines à fixer par le tribunal, par exemple celui des soins ou de la jeunesse, ainsi qu’une assignation à résidence avec un dispositif de surveillance électronique. Cette dernière mesure permettrait également de prévenir le risque de fuite, combinée à une obligation de déposer ses documents d’identité et de se présenter régulièrement auprès d’une autorité administrative, à un rythme fixé par le tribunal. Le recourant ajoute que c'est précisément une combinaison desdites mesures qui serait propre à diminuer les risques envisagés.</w:t>
      </w:r>
    </w:p>
    <w:p>
      <w:r>
        <w:rPr>
          <w:b/>
        </w:rPr>
        <w:t>E. 7.2</w:t>
      </w:r>
    </w:p>
    <w:p>
      <w:r>
        <w:t>Concrétisant le principe de la proportionnalité consacré à l'art. 197 al. 1 let. c. CPP, l'art. 237 al. 1 CPP prévoit que le tribunal compétent ordonne une ou plusieurs mesures moins sévères en lieu et place de la détention provisoire ou de la détention pour des motifs de sûreté si ces mesures permettent d'atteindre le même but que la détention. Selon l'alinéa 2 de cette disposition, font notamment partie des mesures de substitution la fourniture de sûretés (let. a), la saisie des documents d’identité et autres documents officiels (let. b), l’assignation à résidence (let. c), l’obligation de se présenter régulièrement à un service administratif (let. d), l’obligation d’avoir un travail régulier (let. e), l’obligation de se soumettre à un traitement médical ou à des contrôles (let. f) ou l’interdiction d’entretenir des relations avec certaines personnes (let. g). L'alinéa 3 précise que, pour surveiller l’exécution de ces mesures, le tribunal peut ordonner l’utilisation d’appareils techniques qui peuvent être fixés à la personne sous surveillance.</w:t>
      </w:r>
    </w:p>
    <w:p>
      <w:r>
        <w:rPr>
          <w:b/>
        </w:rPr>
        <w:t>E. 7.3</w:t>
      </w:r>
    </w:p>
    <w:p>
      <w:r>
        <w:t>En l’espèce, compte tenu de la gravité des faits en cause et du bien juridique à protéger, soit l’intégrité physique de tiers, il convient de faire preuve d’une vigilance particulière, ce d’autant plus que l’on rappellera qu’après avoir été libéré dans le cadre de l’enquête portant sur le décès de son fils, le recourant a à nouveau été incarcéré et mis en cause pour s’en être pris physiquement à une autre personne. Ainsi, aucune mesure de substitution n’est à même de parer aux risques constatés. Il en va de même de celles proposées par la défense. En effet, ni la mise en œuvre d’un suivi thérapeutique, ni l’interdiction d’exercer des activités professionnelles et bénévoles dans certains domaines, ni l’obligation de déposer ses documents d’identité ou de se présenter régulièrement auprès d’une autorité administrative, ni l’interdiction d’entrer en contact avec des personnes déterminées, ni l’assignation à résidence avec un dispositif de surveillance électronique ne suffiraient, ensemble ou isolément, à empêcher que le recourant se retrouve un jour dans une situation susceptible de générer des angoisses et qu’il récidive. Il s’impose dans ces circonstances que la sécurité publique prime la liberté personnelle du recourant, de sorte qu’il n’est pas envisageable de le libérer en l’état.</w:t>
      </w:r>
    </w:p>
    <w:p>
      <w:r>
        <w:rPr>
          <w:b/>
        </w:rPr>
        <w:t>E. 8.1</w:t>
      </w:r>
    </w:p>
    <w:p>
      <w:r>
        <w:t>Le recourant fait valoir que la peine, en cas de condamnation, serait disproportionnée par rapport à la détention provisoire subie jusqu’à présent et que le principe de la proportionnalité serait dès lors violé. Il précise en effet qu’il ne serait pas manifeste qu'une condamnation pour des actes intentionnels pourrait intervenir, qu’une réduction de peine serait envisageable en raison d’une diminution de responsabilité moyenne à importante et qu’il pourrait bénéficier du sursis ou du sursis partiel, n'ayant jamais fait l'objet d'une condamnation par la justice pénale.</w:t>
      </w:r>
    </w:p>
    <w:p>
      <w:r>
        <w:rPr>
          <w:b/>
        </w:rPr>
        <w:t>E. 8.2</w:t>
      </w:r>
    </w:p>
    <w:p>
      <w:r>
        <w:t>La détention provisoire et la détention pour des motifs de sûreté ne doivent pas durer plus longtemps que la peine privative de liberté prévisible (art. 212 al. 3 CPP).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 ATF 133 I 168 consid. 4.1 ; ATF 132 I 21 consid. 4.1). Toutefois, le fait que la peine encourue puisse être assortie du sursis, total ou partiel, n'est pas déterminant sous l'angle de la proportionnalité (ATF 133 I 270 consid. 3.4.2).</w:t>
      </w:r>
    </w:p>
    <w:p>
      <w:r>
        <w:rPr>
          <w:b/>
        </w:rPr>
        <w:t>E. 8.3</w:t>
      </w:r>
    </w:p>
    <w:p>
      <w:r>
        <w:t>En l’espèce, le recourant est mis en cause pour des faits graves, de sorte que la peine encourue en cas de condamnation est susceptible d’être élevée, et cela même si une diminution de responsabilité moyenne à importante devait être retenue. En outre, il est précisé que, selon la jurisprudence susmentionnée, la possibilité d'un sursis, voire d'un sursis partiel, n’est pas prise en considération dans l'examen de la proportionnalité de la détention provisoire. Ensuite, il ressort de la prise de position du Ministère public que l’enquête arrive à son terme et que le dossier a été mis en prochaine clôture. Ainsi, la durée de l’incarcération subie par le recourant jusqu’à ce jour demeure proportionnée.</w:t>
      </w:r>
    </w:p>
    <w:p>
      <w:r>
        <w:rPr>
          <w:b/>
        </w:rPr>
        <w:t>E. 9</w:t>
      </w:r>
    </w:p>
    <w:p>
      <w:r>
        <w:t>Il résulte de ce qui précède que le recours, manifestement mal fondé, doit être rejeté sans échange d'écritures (art. 390 al. 2 CPP) et l'ordonnance entreprise confirmée. Les frais de la procédure de recours sont fixés à 1'430 fr. (art. 20 al. 1 TFIP [tarif des frais de procédure et indemnités en matière pénale du 28 septembre 2010 ; BLV 312.03.1]). Au vu du travail accompli par Me Christophe Marguerat, défenseur d'office du recourant, il sera retenu 3 heures d'activité au tarif horaire de 180 fr. (art. 2 al. 1 let. a et 3 al. 2 RAJ [règlement sur l'assistance judiciaire en matière civile du 7 décembre 2010 ; BLV 211.02.3], applicables par renvoi de l'art. 26b TFIP), soit 540 francs. S'y ajoutent 2 % pour les débours (art. 3bis al. 1 RAJ, applicable par renvoi de l'art. 26b TFIP), soit 10 fr. 80, de sorte que l'indemnité d'office s'élève au total à 593 fr. 20, TVA par 7,7 % incluse. Les frais judiciaires et les frais imputables à la défense d’office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29 juillet 2019 est confirmée. III. L'indemnité due à Me Christophe Marguerat, défenseur d'office de Z.________, est fixée à 593 fr. 20 (cinq cent nonante-trois francs et vingt centimes). IV. Les frais d'arrêt, fixés à 1'430 fr. (mille quatre cent trente francs), ainsi que l'indemnité allouée à Me Christophe Marguerat, par 593 fr. 20 (cinq cent nonante-trois francs et vingt centimes), sont mis à la charge de Z.________. V. Le remboursement à l'Etat de l'indemnité allouée au chiffre III ci-dessus ne pourra être exigé que pour autant que la situation financière de Z.________ le permette. VI. L’arrêt est exécutoire. Le président :               Le greffier : Du Le présent arrêt, dont la rédaction a été approuvée à huis clos, est notifié, par l'envoi d'une copie complète, à : - Me Christophe Marguerat (pour Z.________), - Ministère public central, et communiqué à : - Mme la Présidente du Tribunal des mesures de contrainte, - M. le Procureur de l’arrondissement de Lausanne, ‑ Me Véronique Fontana (pour M.________),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