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648 vom 9. August 2019</w:t>
      </w:r>
    </w:p>
    <w:p>
      <w:r>
        <w:t>VD Tribunal cantonal, 2019-08-09, FR</w:t>
      </w:r>
    </w:p>
    <w:p>
      <w:r>
        <w:rPr>
          <w:b/>
        </w:rPr>
        <w:t xml:space="preserve">Quelle: </w:t>
      </w:r>
      <w:r>
        <w:t>https://mcp.opencaselaw.ch/entscheid/vd_findinfo_D_cision___2019___648</w:t>
      </w:r>
    </w:p>
    <w:p>
      <w:r>
        <w:t>FR: VD_FINDINFO Décision / 2019 / 648 du 9 août 2019</w:t>
      </w:r>
    </w:p>
    <w:p>
      <w:r>
        <w:t>IT: VD_FINDINFO Décision / 2019 / 648 del 9 agosto 2019</w:t>
      </w:r>
    </w:p>
    <w:p>
      <w:pPr>
        <w:pStyle w:val="Heading2"/>
      </w:pPr>
      <w:r>
        <w:t>Regeste</w:t>
      </w:r>
    </w:p>
    <w:p>
      <w:r>
        <w:t>DÉTENTION PROVISOIRE, RISQUE DE COLLUSION, PROPORTIONNALITÉ, MESURE DE SUBSTITUTION À LA DÉTENTION, SOUPÇON | 212 al. 3 CPP (CH), 221 al. 1 let. b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d’O.________ est recevable.</w:t>
      </w:r>
    </w:p>
    <w:p>
      <w:r>
        <w:rPr>
          <w:b/>
        </w:rPr>
        <w:t>E. 2.1</w:t>
      </w:r>
    </w:p>
    <w:p>
      <w:r>
        <w:t>Le recourant conteste l’existence de soupçons suffisants de culpabilité à son encontre. Il soutient que le seul élément qui l’incriminerait serait la déclaration de F.________, laquelle ne serait néanmoins pas crédible en raison du fait qu’elle serait elle-même impliquée dans des affaires de stupéfiants, qu’elle n’aurait jamais donné le nom d’O.________ lors de ses auditions mais aurait seulement, au bout du quatrième interrogatoire, reconnu celui-ci sur une photo, qu’elle n’aurait pas hésité à mentir aux enquêteurs et à changer plusieurs fois de version des faits, et qu’il serait possible qu’elle ait tenté, par ses déclarations, de minimiser le rôle de K.________, avec lequel elle aurait entretenu une relation extraconjugale. En outre, le recourant soutient qu’aucune preuve n’aurait été trouvée lors de la perquisition de son domicile, l’argent retrouvé dans des enveloppes correspondant aux recettes hebdomadaires du [...] exploité par son frère.</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Ainsi, des soupçons, même peu précis, peuvent être suffisants dans les premiers temps de l'enquête (ATF 143 lV 330 consid. 2.1 ;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 ATF 137 IV 122 consid. 3.2 ; TF 1B_308/2018 du 17 juillet 2018 consid. 2.1 ; Forster, in : Niggli/Heer/Wiprächtiger [éd.], Basler Kommentar, Schweizerische Strafprozess-ordnung, Jugendstrafprozessordnung, 2 e éd., Bâle 2014, n. 3 ad art. 221 CPP).</w:t>
      </w:r>
    </w:p>
    <w:p>
      <w:r>
        <w:rPr>
          <w:b/>
        </w:rPr>
        <w:t>E. 2.3</w:t>
      </w:r>
    </w:p>
    <w:p>
      <w:r>
        <w:t>En l’espèce, dans le cadre de l’enquête neuchâteloise déjà évoquée, le recourant a été formellement mis en cause par F.________ pour lui avoir vendu 90 g de métamphétamine. Contrairement à ce qu’affirme le recourant, il ressort des auditions de cette dernière qu’elle a immédiatement parlé d’un dénommé [...], d’origine [...], comme étant l’un des vendeurs et même le bras droit de K.________, l’un de ses fournisseurs venant de [...] (PV aud. 6 mars 2019, lignes 390-398 ; PV aud. 9 mars 2019, R. 7 lignes 62-80 ; PV aud. 6 mai 2019, R. 8 ss). Lorsqu’une photographie sur laquelle apparaissait O.________ lui a été présentée, elle a par ailleurs immédiatement identifié ce dernier comme étant [...], déclarant qu’elle en était « sûre à 100 % » (PV aud. 6 mai 2019, R. 9 ligne 95). F.________ n’a donc pas varié dans ses déclarations s’agissant de l’implication du recourant dans la vente de crystal meth, dont elle s’est reconnue consommatrice. En outre, F.________ a également mis en cause le recourant pour avoir ravitaillé M.________ (PV aud. 6 mai 2019, R. 8 lignes 86-90), ce qui a été partiellement confirmé par ce dernier, qui a notamment décrit une personne dont le physique et l’origine correspondent à ceux d’O.________ et qui conduisait une petite voiture [...] (PV aud. 10 avril 2019, R. 8 lignes 77-101). Or, selon F.________, le dénommé [...] était en charge des transactions et conduisait une petite voiture de couleur [...] pour effectuer ses livraisons. S’agissant de ce dernier point, il ressort en l’état de l’enquête de police que le recourant a été dénoncé, en juin 2018, pour des infractions à la circulation routière commises au volant d’un véhicule correspondant à celui décrit par F.________ et M.________ (rapport d’investigation du 17 mai 2019, p. 5). Le fait que ce véhicule n’appartient pas au recourant mais qu’il est immatriculé au nom de J.________ n’y change rien. Pour le surplus, le recourant perd de vue que lors de la perquisition de son domicile, des sachets Minigrip, fréquemment utilisés pour le conditionnement et la vente de produits stupéfiants, ont été trouvés dans le même coffre que les quatre enveloppes contenant une somme totale de 8'000 fr., argent dont il conteste l’origine criminelle. Plusieurs armes et de nombreux téléphones portables ont également été saisis. Sur ce point, on relèvera, à l’instar du Tribunal des mesures de contrainte, que le recourant n’a pas été en mesure de s’expliquer s’agissant des sept raccordements qui semblent lui être attribués (PV aud. 6 R. 5). A ce stade très précoce de l’enquête, les éléments au dossier permettent donc de nourrir des soupçons suffisants d’infractions à la LStup (Loi fédérale sur les stupéfiants et les substances psychotropes du 3 octobre 1951 ; RS 812.121) et à la LArm (Loi fédérale sur les armes, les accessoires d’armes et les munitions du 20 juin 1997 ; RS 514.54) à l’encontre d’O.________. La première condition de l’art. 221 al. 1 CPP apparaît dès lors réalisée.</w:t>
      </w:r>
    </w:p>
    <w:p>
      <w:r>
        <w:rPr>
          <w:b/>
        </w:rPr>
        <w:t>E. 3.1</w:t>
      </w:r>
    </w:p>
    <w:p>
      <w:r>
        <w:t>Le recourant conteste l’existence d’un risque de collusion. Il prétend que, depuis le 30 juillet 2019, date à laquelle la police a procédé à quatre perquisitions à différents endroits de [...], les protagonistes seraient tous au courant de l’enquête et auraient donc cas échéant déjà pris toutes les mesures nécessaires pour éliminer les moyens de preuve existants. En outre, il n’y aurait aucun risque qu’il entre en contact avec F.________ dans la mesure où cette dernière serait actuellement détenue dans un établissement pénitentiaire dans le canton de Neuchâtel. Enfin, il fait valoir que le Ministère public n’exposerait pas concrètement les mesures d’instruction qu’il compte accomplir ni quel risque serait lié à ces dernières.</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1B_243/2018 du 5 juin 2018 consid. 3.1). Entrent aussi en considération la nature et l’importance des déclarations, respectivement des moyens de preuves susceptibles d’être menacés, la gravité des infractions en cause et le stade de la procédure. A cet égard, plus l'instruction se trouve à un stade avancé et les faits sont établis avec précision, plus les exigences relatives à la preuve de l'existence d'un risque de collusion sont élevées (ATF 137 IV 122 consid. 4.2 ; ATF 132 I 21 consid. 3.2 et les réf. citées ; TF 1B_208/2019 du 29 mai 2019 consid. 4.1).</w:t>
      </w:r>
    </w:p>
    <w:p>
      <w:r>
        <w:rPr>
          <w:b/>
        </w:rPr>
        <w:t>E. 3.3</w:t>
      </w:r>
    </w:p>
    <w:p>
      <w:r>
        <w:t>Dans le cas présent, l’enquête vient juste de débuter et des mesures d’instruction, lesquelles portent à ce stade principalement sur l’analyse des données téléphoniques des appareils saisis lors des perquisitions, doivent être effectuées. Le résultat de cet examen sera décisif pour délimiter l’étendue de la potentielle activité délictueuse du recourant. Il en va de même d’une nouvelle audition de F.________, qui semblait être une cliente régulière de K.________, respectivement du recourant, et dont les déclarations, qui sont les principales à mettre en cause O.________ à ce jour, sont donc d’une importance primordiale en vue de la suite de la procédure. Il est donc impératif que le recourant ne puisse pas interférer avec ces éléments et, notamment, qu’il ne puisse pas prendre contact de quelque manière que ce soit avec F.________, d’autres clients ou d’autres personnes impliquées dans le trafic en cause, qui ne sont potentiellement pas connues à ce jour. Le fait que F.________ est actuellement placée dans une institution (et non incarcérée dans un établissement pénitentiaire comme le soutient le recourant ; cf. PV aud. 6 mai 2019), ne saurait empêcher le prévenu de la contacter. Le risque de collusion est donc bien réel et concret et c’est à juste titre que le Tribunal des mesures de contrainte a retenu son existence pour ordonner le placement du recourant en détention provisoire.</w:t>
      </w:r>
    </w:p>
    <w:p>
      <w:r>
        <w:rPr>
          <w:b/>
        </w:rPr>
        <w:t>E. 4.1</w:t>
      </w:r>
    </w:p>
    <w:p>
      <w:r>
        <w:t>Le recourant invoque enfin une violation du principe de la proportionnalité et conclut cas échéant à la mise en place de mesures de substitution en lieu et place de la détention provisoire.</w:t>
      </w:r>
    </w:p>
    <w:p>
      <w:r>
        <w:rPr>
          <w:b/>
        </w:rPr>
        <w:t>E. 4.2.1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l'assignation à résidence ou l'interdiction de se rendre dans un certain lieu ou un certain immeuble (let. c),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4.2.2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4.3</w:t>
      </w:r>
    </w:p>
    <w:p>
      <w:r>
        <w:t>En l’occurrence, les mesures de substitution proposées par le recourant ne suffisent pas à pallier le risque de collusion constaté. Aucune mesure n’est en effet propre à empêcher que le recourant contacte des personnes susceptibles d’influer sur le sort de l’enquête, et en particulier F.________. La mise sous écoute téléphonique n’est notamment pas suffisante, les contacts pouvant avoir lieu par d’autres moyens, notamment par écrit ou par l’intermédiaire de tiers. Quant au port d’un bracelet électronique, cette mesure est inefficace à prévenir le risque retenu. Au demeurant, la durée de la détention provisoire ordonnée, limitée à six semaines par le Tribunal des mesures de contrainte, est largement inférieure à la peine susceptible d’être prononcée à l’encontre du recourant en cas de condamnation. Le principe de la proportionnalité est donc respecté.</w:t>
      </w:r>
    </w:p>
    <w:p>
      <w:r>
        <w:rPr>
          <w:b/>
        </w:rPr>
        <w:t>E. 5</w:t>
      </w:r>
    </w:p>
    <w:p>
      <w:r>
        <w:t>Il résulte de ce qui précède que le recours, manifestement mal fondé, doit être rejeté sans échange d’écritures (art. 390 al. 2 CPP) et l’ordonnance entreprise confirmée. Les frais de la procédure de recours, constitués en l’espèce de l’émolument d’arrêt, par 1'100 fr. (art. 20 al. 1 TFIP [Tarif des frais de procédure et indemnités en matière pénale du 28 septembre 2010 ; BLV 312.03.1]), ainsi que des frais imputables à la défense d’office (art. 422 al. 1 et 2 let. a CPP), fixés à 593 fr. 20, qui comprennent des honoraires par 540 fr., des débours forfaitaires à concurrence de 2 % (art. 3bis al. 1 RAJ [Règlement sur l’assistance judiciaire en matière civile du 7 décembre 2010 ; BLV 211.02.3], applicable par renvoi de l’art. 26b TFIP), par 10 fr. 80, et la TVA par 42 fr. 40,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31 juillet 2019 est confirmée. III. L’indemnité allouée au défenseur d’office d’O.________ est fixée à 593 fr. 20 (cinq cent nonante-trois francs et vingt centimes). IV. Les frais d’arrêt, par 1'100 fr. (mille cent francs), ainsi que l’indemnité due au défenseur d’office d’O.________, par 593 fr. 20 (cinq cent nonante-trois francs et vingt centimes), sont mis à la charge de ce dernier. V. Le remboursement à l’Etat de l’indemnité allouée au chiffre III ci-dessus ne sera exigible que pour autant que la situation financière d’O.________ le permette. VI. L’arrêt est exécutoire. Le président : La greffière : Du Le présent arrêt, dont la rédaction a été approuvée à huis clos, est notifié, par l'envoi d'une copie complète, à : - Me Christian Chillà, avocat (pour O.________),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