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647 vom 12. August 2019</w:t>
      </w:r>
    </w:p>
    <w:p>
      <w:r>
        <w:t>VD Tribunal cantonal, 2019-08-12, FR</w:t>
      </w:r>
    </w:p>
    <w:p>
      <w:r>
        <w:rPr>
          <w:b/>
        </w:rPr>
        <w:t xml:space="preserve">Quelle: </w:t>
      </w:r>
      <w:r>
        <w:t>https://mcp.opencaselaw.ch/entscheid/vd_findinfo_D_cision___2019___647</w:t>
      </w:r>
    </w:p>
    <w:p>
      <w:r>
        <w:t>FR: VD_FINDINFO Décision / 2019 / 647 du 12 août 2019</w:t>
      </w:r>
    </w:p>
    <w:p>
      <w:r>
        <w:t>IT: VD_FINDINFO Décision / 2019 / 647 del 12 agosto 2019</w:t>
      </w:r>
    </w:p>
    <w:p>
      <w:pPr>
        <w:pStyle w:val="Heading2"/>
      </w:pPr>
      <w:r>
        <w:t>Regeste</w:t>
      </w:r>
    </w:p>
    <w:p>
      <w:r>
        <w:t>DÉTENTION POUR DES MOTIFS DE SÛRETÉ, RISQUE DE COLLUSION, MESURE DE SUBSTITUTION À LA DÉTENTION, EXÉCUTION ANTICIPÉE, PEINE PRIVATIVE DE LIBERTÉ | 221 al. 1 let. b CPP (CH), 237 CPP (CH)</w:t>
      </w:r>
    </w:p>
    <w:p>
      <w:pPr>
        <w:pStyle w:val="Heading2"/>
      </w:pPr>
      <w:r>
        <w:t>Erwägungen</w:t>
      </w:r>
    </w:p>
    <w:p>
      <w:r>
        <w:rPr>
          <w:b/>
        </w:rPr>
        <w:t>E. 4</w:t>
      </w:r>
    </w:p>
    <w:p>
      <w:r>
        <w:t>Au vu de ce qui précède, le recours, manifestement mal fondé, doit être rejeté sans échange d'écritures (art. 390 al. 2 CPP) et l'ordonnance du 23 juillet 2019 confirmée. Les frais de la procédure de recours, constitués en l'espèce de l'émolument d'arrêt, par 990 fr. (art. 20 al. 1 TFIP [Tarif des frais de procédure et indemnités en matière pénale du 28 septembre 2010; BLV 312.03.1]), et des frais imputables à la défense d'office (art. 422 al. 1 et 2 let. a CPP), fixés à 395 fr. 50, qui comprennent des honoraires, par 360 fr., des débours forfaitaires à concurrence de 2 % (art. 3bis al. 1 RAJ [Règlement sur l’assistance judiciaire en matière civile du 7 décembre 2010; BLV 211.02.3], applicable par renvoi de l’art. 26b TFIP), par 7 fr. 20, et un montant correspondant à la TVA, par 28 fr. 30, seront mis à la charge du recourant, qui succombe (art. 428 al. 1, 1 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23 juillet 2019 est confirmée. III. L'indemnité allouée au défenseur d'office de G.________ est fixée à 395 fr. 50 (trois cent nonante-cinq francs et cinquante centimes). IV. Les frais d'arrêt, par 990 fr. (neuf cent nonante francs), ainsi que l’indemnité due au défenseur d’office de G.________, par 395 fr. 50 (trois cent nonante-cinq francs et cinquante centimes), sont mis à la charge de ce dernier. V. Le remboursement à l’Etat de l’indemnité allouée au chiffre III ci-dessus ne sera exigible que pour autant que la situation financière de G.________ le permette. VI. L’arrêt est exécutoire. Le président :               Le greffier : Du Le présent arrêt, dont la rédaction a été approuvée à huis clos, est notifié, par l'envoi d'une copie complète, à : - Me Michael Stauffacher, avocat (pour G.________), - Ministère public central, et communiqué à : ‑ Mme la Présidente du Tribunal des mesures de contrainte, - Mme la Procureure de l'arrondissement de La Côte, - Mme la Présidente du Tribunal correctionnel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