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641 vom 5. August 2019</w:t>
      </w:r>
    </w:p>
    <w:p>
      <w:r>
        <w:t>VD Tribunal cantonal, 2019-08-05, FR</w:t>
      </w:r>
    </w:p>
    <w:p>
      <w:r>
        <w:rPr>
          <w:b/>
        </w:rPr>
        <w:t xml:space="preserve">Quelle: </w:t>
      </w:r>
      <w:r>
        <w:t>https://mcp.opencaselaw.ch/entscheid/vd_findinfo_D_cision___2019___641</w:t>
      </w:r>
    </w:p>
    <w:p>
      <w:r>
        <w:t>FR: VD_FINDINFO Décision / 2019 / 641 du 5 août 2019</w:t>
      </w:r>
    </w:p>
    <w:p>
      <w:r>
        <w:t>IT: VD_FINDINFO Décision / 2019 / 641 del 5 agosto 2019</w:t>
      </w:r>
    </w:p>
    <w:p>
      <w:pPr>
        <w:pStyle w:val="Heading2"/>
      </w:pPr>
      <w:r>
        <w:t>Regeste</w:t>
      </w:r>
    </w:p>
    <w:p>
      <w:r>
        <w:t>DÉFENSE D'OFFICE, REJET DE LA DEMANDE, CAS BÉNIN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formé par J.________ est recevable (Moreillon/Parein-Reymond, Code de procédure pénale, Petit commentaire, 2 e éd., Bâle 2016, n. 18 ad art. 132 CPP ; CREP 17 août 2017/542 consid. 1 et les références citées).</w:t>
      </w:r>
    </w:p>
    <w:p>
      <w:r>
        <w:rPr>
          <w:b/>
        </w:rPr>
        <w:t>E. 2.1</w:t>
      </w:r>
    </w:p>
    <w:p>
      <w:r>
        <w:t>Le recourant requiert la désignation d’un défenseur d’office. Il fait valoir son indigence et considère que l’assistance d’un avocat serait nécessaire pour sauvegarder ses intérêts dans le cadre de la présente procédure. S'agissant de la gravité de la peine encourue, Il fait valoir qu’il risque concrètement une peine privative de liberté de 120 jours – ce qui correspond exactement à la limite du cas grave de l'art. 132 al. 3 CPP – et qu’au vu des antécédents, il est très improbable qu'il bénéficie d'un sursis. Par ailleurs, s'agissant de la difficulté objective de la procédure, le recourant relève qu’il a, depuis 2013, été condamné pour séjour illégal à plusieurs reprises, à des peines pécuniaires et des peines privatives de liberté dont le cumul atteint 120 jours de peine privative de liberté, et qu’on ne saurait attendre d'un plaideur en personne qu'il appréhende, seul, les subtilités qu'engendre, compte tenu de la multiplicité des procédures pour séjour illégal dont il a fait l'objet, l'applicabilité de la jurisprudence du Tribunal fédéral sur le délit continu en matière de législation sur les étrangers, voire de la directive sur le retour et des conséquences de la reprise de l'acquis Schengen. Enfin, s'agissant de la difficulté subjective de la cause, le recourant relève qu’il ne maîtrise que très mal le français et qu’il n'a aucune connaissance juridique particulière.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2.3</w:t>
      </w:r>
    </w:p>
    <w:p>
      <w:r>
        <w:t>En l’espèce, il est reproché au recourant d’avoir séjourné illégalement en Suisse. Force est de constater que les faits ne présentent aucune complexité. En outre, l’infraction retenue ne pose pas de problème de compréhension particulier qui nécessiterait d’avoir suivi une formation juridique. Entendu par le Ministère public, le recourant a d’ailleurs pu s’expliquer de manière claire sur les faits et a bien compris ce qui lui était reproché. De plus, il a déjà fait opposition – seul – à l’ordonnance pénale du 5 juillet 2019 rendue à son encontre. Dans ces conditions, le droit ne présente pas non plus de difficultés qu’il ne pourrait pas surmonter seul. Par ailleurs, quoi qu’en dise J.________, l’affaire est de peu de gravité au sens de l’art. 132 al. 2 CPP, a contrario . En effet, l’ordonnance pénale contre laquelle il a fait opposition le condamne à une peine privative de liberté de 120 jours, soit en dessous de la limite légale de l’art. 132 al. 3 CPP. Dans ces conditions, il n’est pas nécessaire d’instruire le point de savoir si le recourant ne dispose pas des moyens nécessaires au sens de la jurisprudence (TF 1B_347/2018 du 10 janvier 2019 consid. 3.1). Au vu de ce qui précède, les conditions prévues à l’art. 132 al. 1 let. b CPP ne sont pas réalisées. C’est donc à bon droit que la Procureure a refusé de nommer un défenseur d’office au recourant.</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 En outre, aucune indemnité ne sera allouée au vu de l’issue du recours. Par ces motifs, la Chambre des recours pénale prononce : I. Le recours est rejeté. II. L’ordonnance du 23 juillet 2019 est confirmée. III. Les frais d’arrêt, par 550 fr. (cinq cent cinquante francs), sont mis à la charge de J.________. IV. L’arrêt est exécutoire. Le président :               Le greffier : Du Le présent arrêt, dont la rédaction a été approuvée à huis clos, est notifié, par l'envoi d'une copie complète, à : - Me Damien Menut (pour J.________), - Ministère public central, et communiqué à : ‑ Mme la Procureure de l’arrondissement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