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629 vom 31. Juli 2019</w:t>
      </w:r>
    </w:p>
    <w:p>
      <w:r>
        <w:t>VD Tribunal cantonal, 2019-07-31, FR</w:t>
      </w:r>
    </w:p>
    <w:p>
      <w:r>
        <w:rPr>
          <w:b/>
        </w:rPr>
        <w:t xml:space="preserve">Quelle: </w:t>
      </w:r>
      <w:r>
        <w:t>https://mcp.opencaselaw.ch/entscheid/vd_findinfo_D_cision___2019___629</w:t>
      </w:r>
    </w:p>
    <w:p>
      <w:r>
        <w:t>FR: VD_FINDINFO Décision / 2019 / 629 du 31 juillet 2019</w:t>
      </w:r>
    </w:p>
    <w:p>
      <w:r>
        <w:t>IT: VD_FINDINFO Décision / 2019 / 629 del 31 luglio 2019</w:t>
      </w:r>
    </w:p>
    <w:p>
      <w:pPr>
        <w:pStyle w:val="Heading2"/>
      </w:pPr>
      <w:r>
        <w:t>Regeste</w:t>
      </w:r>
    </w:p>
    <w:p>
      <w:r>
        <w:t>VISITE, DÉTENTION PROVISOIRE, RISQUE DE COLLUSION | 235 CPP (CH)</w:t>
      </w:r>
    </w:p>
    <w:p>
      <w:pPr>
        <w:pStyle w:val="Heading2"/>
      </w:pPr>
      <w:r>
        <w:t>Erwägungen</w:t>
      </w:r>
    </w:p>
    <w:p>
      <w:r>
        <w:rPr>
          <w:b/>
        </w:rPr>
        <w:t>E. 1</w:t>
      </w:r>
    </w:p>
    <w:p>
      <w:r>
        <w:t>Selon l’art. 393 al. 1 let. a CPP (Code de procédure pénale suisse du 5 octobre 2007; RS 312.0), le recours est recevable contre les décisions et les actes de procédure de la police, du Ministère public et des autorités pénales compétentes en matière de contraventions. Un refus du ministère public, direction de la procédure, d’autoriser des visites peut ainsi être attaqué par la voie du recours (cf. CREP 31 octobre 2018/853 consid. 1; CREP 2 août 2018/576 consid. 1; CREP 26 février 2018/152 consid. 1 et les réf. citées). Interjeté en temps utile devant l’autorité compétente, le recours est ainsi recevable.</w:t>
      </w:r>
    </w:p>
    <w:p>
      <w:r>
        <w:rPr>
          <w:b/>
        </w:rPr>
        <w:t>E. 2.1</w:t>
      </w:r>
    </w:p>
    <w:p>
      <w:r>
        <w:t>Le recourant soutient que l'interdiction de visite prononcée par le Ministère public ne serait justifiée par aucun intérêt public et qu'elle serait contraire à sa liberté personnelle et au respect de sa vie privée.</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La garantie de la liberté personnelle (art. 10 al. 1 Cst. [Constitution fédérale de la Confédération suisse du 18 avril 1999; RS 101])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(TF 1B_74/2014 du 7 avril 2014 consid. 3.2; TF 1B_382/2013 du 18 décembre 2013 consid. 2.1). Conformément aux exigences de l'art. 36 Cst., les restrictions à ce droit doivent reposer sur une base légale et ne pas aller au-delà de ce qui est nécessaire au but de l'incarcération (ATF 124 I 203 consid. 2b; ATF 119 la 505 consid. 3b; ATF 118 la 64 consid. 2d; TF 1B_74/2014 du 7 avril 2014 consid. 3.2). Les exigences inhérentes au but de la détention doivent être examinées dans chaque cas, les restrictions imposées pouvant être d'autant plus sévères que le risque, notamment de collusion, apparaît élevé (ATF 118 la 64 consid. 2d; TF 1B_74/2014 du 7 avril 2014 consid. 3.2; TF 1B_382/2013 du 18 décembre 2013 consid. 2.1). Par analogie avec la détention provisoire, le risque de collusion doit, pour faire échec au droit de visite des proches, présenter une certaine vraisemblance (ATF 123 I 31 consid. 3c; ATF 117 la 257 consid. 4c; TF 1B_74/2014 du 7 avril 2014 consid. 3.2; TF 1B_382/2013 du 18 décembre 2013 consid. 2.1), et l'autorité doit indiquer, au moins dans les grandes lignes, en quoi l'exercice de ce droit pourrait compromettre les résultats de l'enquête (cf. ATF 123 I 31 consid. 2b; ATF 116 la 149 consid. 5; TF 1B_74/2014 du 7 avril 2014 consid. 3.2;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ATF 123 I 221 consid. 114c; ATF 122 II 299 consid. 3b; ATF 118 la 64 consid. 2d) – concerne notamment le maintien de contacts avec les membres de la proche famille, tels que le conjoint et les enfants, protégé par les garanties constitutionnelles et conventionnelles de la liberté personnelle (art. 10 al. 2 Cst.) et du respect de la vie privée et familiale (art. 14 Cst. et 8 CEDH; TF 1P.382/2002 du 13 août 2002 consid. 3; Härri, in : Niggli/Heer/Wiprächtiger [éd.], Basler Kommentar, Schweizerische Strafprozessordnung, Jugendstrafprozessordnung, Art. 196-457 StPO – Art. 1-54 JStPO, 2 e éd., Bâle 2014, n. 34 ad art. 235 CPP; JdT 2015 III 118).</w:t>
      </w:r>
    </w:p>
    <w:p>
      <w:r>
        <w:rPr>
          <w:b/>
        </w:rPr>
        <w:t>E. 2.3</w:t>
      </w:r>
    </w:p>
    <w:p>
      <w:r>
        <w:t>En l’espèce, le Ministère public soupçonne le recourant de ne pas avoir dit la vérité en déclarant avoir jeté dans une rivière le couteau qu’il aurait utilisé lors des faits incriminés. Des mesures d’instruction sont en cours pour déterminer et localiser cet objet. Il n’est pas exclu que ce couteau porte des empreintes qui permettraient d’écarter la thèse des prévenus selon laquelle ils ne se connaissaient pas avant les actes incriminés, voire qui infirmerait tout autre point de leur version des faits. Il existe dès lors un intérêt public suffisant pour prendre toutes mesures utiles assurant que le recourant ne puisse pas, s’il a effectivement menti sur le sort du couteau, communiquer à un tiers le lieu où se trouve cet objet pour qu’il le fasse disparaître. Comme l’a retenu à bon droit le Ministère public, les liens familiaux qui unissent le prévenu à sa mère font courir un risque concret que celle-ci accepte de se charger d’un tel message. Ce risque est d’autant plus élevé que le troisième membre du groupe décrit par la victime paraît ne pas avoir été identifié en l’état des investigations. Pour le reste, l’objet de la décision contestée est susceptible de faire l’objet d’une nouvelle appréciation en fonction de l’avancée de l’enquête, notamment sous l’angle de la proportionnalité. C’est donc en vain que le recourant plaide que le risque de collusion entre prévenus retenu par la Procureure ne peut que rester immuable jusqu’au terme de l’instruction, sinon jusqu’à l’audience de jugement, de sorte que cette motivation contreviendrait au principe de la proportionnalité (recours, p. 5, 4 e par.). La décision attaquée ne viole dès lors ni la loi ni les droits constitutionnels du recourant.</w:t>
      </w:r>
    </w:p>
    <w:p>
      <w:r>
        <w:rPr>
          <w:b/>
        </w:rPr>
        <w:t>E. 3</w:t>
      </w:r>
    </w:p>
    <w:p>
      <w:r>
        <w:t>Il résulte de ce qui précède que le recours, manifestement mal fondé, doit être rejeté sans échange d’écritures (art. 390 al. 2 CPP) et la décision du 18 juillet 2019 confirmée. Les frais de la procédure de recours, par 770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18 juillet 2019 est confirmée. III. Les frais d’arrêt, par 770 fr. (sept cent septante francs) sont mis à la charge de Z.________. IV. L’arrêt est exécutoire. Le président :               Le greffier : Du Le présent arrêt, dont la rédaction a été approuvée à huis clos, est notifié, par l'envoi d'une copie complète, à : - Me Patrick Michod, avocat (pour Z.________),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