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626 vom 29. Juli 2019</w:t>
      </w:r>
    </w:p>
    <w:p>
      <w:r>
        <w:t>VD Tribunal cantonal, 2019-07-29, FR</w:t>
      </w:r>
    </w:p>
    <w:p>
      <w:r>
        <w:rPr>
          <w:b/>
        </w:rPr>
        <w:t xml:space="preserve">Quelle: </w:t>
      </w:r>
      <w:r>
        <w:t>https://mcp.opencaselaw.ch/entscheid/vd_findinfo_D_cision___2019___626</w:t>
      </w:r>
    </w:p>
    <w:p>
      <w:r>
        <w:t>FR: VD_FINDINFO Décision / 2019 / 626 du 29 juillet 2019</w:t>
      </w:r>
    </w:p>
    <w:p>
      <w:r>
        <w:t>IT: VD_FINDINFO Décision / 2019 / 626 del 29 luglio 2019</w:t>
      </w:r>
    </w:p>
    <w:p>
      <w:pPr>
        <w:pStyle w:val="Heading2"/>
      </w:pPr>
      <w:r>
        <w:t>Regeste</w:t>
      </w:r>
    </w:p>
    <w:p>
      <w:r>
        <w:t>EXÉCUTION ANTICIPÉE DES PEINES ET DES MESURES, REJET DE LA DEMANDE | 236 al. 1 CPP (CH), 393 al. 1 let. a CPP (CH)</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(Jeremy Stephenson/Gilbert Thiriet, in : Niggli/Heer/Wiprächtiger [éd.], Basler Kommentar, Schweizerische Strafprozess-ordnung, Jugendstrafprozess-ordnung, 2 e éd., Bâle 2014, n. 10 ad art. 393 CPP ; Hug, in : Donatsch/ Hansjakob/Lieber [éd.], Kommentar zur Schweizerischen Straf-prozessordnung, 2 e éd., 2014, n. 17 ad art. 236 CPP ; CREP 13 mars 2018/196 ; CREP 31 mai 2017/360 ; CREP 24 octobre 2016/654).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 art. 80 LOJV [loi d’organisation judiciaire du 12 décembre 1979; BLV 173.01]). En l’espèce, il y a lieu d’entrer en matière sur le recours, qui a été interjeté en temps utile devant l’autorité compétente par le prévenu qui a qualité pour recourir (art. 382 al. 1 CPP) et qui satisfait aux conditions de forme posées par l’art. 385 al. 1 CPP.</w:t>
      </w:r>
    </w:p>
    <w:p>
      <w:r>
        <w:rPr>
          <w:b/>
        </w:rPr>
        <w:t>E. 2.1</w:t>
      </w:r>
    </w:p>
    <w:p>
      <w:r>
        <w:t>Contestant l'existence d’un risque de collusion, le recourant soutient que les conditions d'une exécution anticipée de peine seraient réalisées.</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Dès l'entrée du prévenu dans l'établissement, l'exécution de la peine ou de la mesure commence et le prévenu est soumis au régime de l'exécution, sauf si le but de la détention provisoire ou de la détention pour des motifs de sûreté s'y oppose (art. 236 al. 4 CPP). L'exécution anticipée des peines et des mesures est, de par sa nature, une mesure de contrainte qui se classe à la limite entre la poursuite pénale et l'exécution de la peine. Ce moyen permet, avant même l'entrée en force du jugement pénal, de mettre en place un régime d'exécution tenant compte notamment de la situation particulière du détenu et, le cas échéant, lui offrir de meilleures chances de resocialisation (ATF 143 IV 160 consid. 2.1 ; ATF 133 I 270 consid. 3.2.1 ; ATF 126 I 172 consid. 3a). La poursuite de la détention sous la forme de l'exécution anticipée de la peine présuppose tout d'abord l'existence d'un des motifs de détention provisoire prévus à l'art. 221 al. 1 let. a, b ou c CPP et sa durée doit respecter le principe de la proportionnalité (ATF 143 IV 160 consid. 2.1 ; TF 1B_443/2016 du 12 décembre 2016 consid. 2.1).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Pour retenir l'existence d'un risque de collusion au sens de la disposition précédente,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 3.2 et les références citées). Plus l'instruction se trouve à un stade avancé et les faits établis avec précision, plus les exigences relatives à la preuve de l'existence d'un risque de collusion sont élevées (ATF 137 IV 122 consid. 4.2 ; ATF 132 I 21 consid. 3.2.2 ; TF 1B_127/2017 du 20 avril 2017 ; TF 1B_449/2015 du 15 janvier 2016 consid. 2.3 ; TF 1B_742/2012 du 17 janvier 2013 consid. 2.2). L'art. 236 al. 1 in fine CPP suppose de plus que le « stade de la procédure »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n'a pas seulement pour but d'empêcher tout risque de collusion, mais répond également à des besoins pratiques, en raison de l'éventuel éloignement géographique entre les lieux d'exécution de peine et ceux où a lieu l'administration des preuves (TF 1B_127/2017 du 20 avril 2017 consid. 2.1 ; TF 1B_189/2014 du 28 juillet 2014 consid. 2.3 et les références citées). Un danger de collusion n'exclut cependant pas nécessairement la mise en place d'une exécution anticipée de peine. Cela étant, dans l'intérêt de l'instruction, ce motif de détention peut alors justifier de limiter certains allégements qu'offre ce régime (cf. art. 236 al. 4 CPP ; ATF 133 I 270 consid. 3.2.1). Celui-ci ne permet en effet pas de prévenir aussi efficacement d'éventuels actes de collusion que le régime qui prévaut en matière de détention provisoire proprement dite. L'exécution anticipée de la peine doit néanmoins être refusée lorsqu'un risque élevé de collusion demeure, de sorte que le but de la détention et les besoins de l'instruction seraient compromis si le régime de l'exécution anticipée devait être mis en œuvre (TF 1B_127/2017 du 20 avril 2017 consid. 2.1 ; TF 1B_449/2015 du 15 janvier 2016 consid. 2.3).</w:t>
      </w:r>
    </w:p>
    <w:p>
      <w:r>
        <w:rPr>
          <w:b/>
        </w:rPr>
        <w:t>E. 2.3</w:t>
      </w:r>
    </w:p>
    <w:p>
      <w:r>
        <w:t>En l’espèce, le brigandage dont est prévenu le recourant a été exécuté par une bande de malfrats professionnels, dont l’organisation paraît impressionnante et dont la structure est particulièrement difficile à comprendre avec certitude. S’il est vrai que le rapport final de la police a été déposé, il n’en demeure pas moins que l’enquête se poursuit, dès lors que plusieurs protagonistes sont en fuite ou en attente d’extradition et n’ont de ce fait pas pu être arrêtés ou à tout le moins interrogés. On relèvera à cet égard que, si l’instruction a pu avancer grâce à la collaboration, notamment, du recourant, ce dernier a toutefois refusé de donner le nom de ses comparses. Il est donc à craindre qu’un passage en exécution anticipée de peine ne permette à l’intéressé de prendre des contacts à l’extérieur de manière facilitée, par un libre accès au téléphone, des visites sans contrôle et un contrôle sommaire du courrier par le référent social du détenu. Or, comme l’a exposé le Procureur, de telles modalités permettraient facilement au recourant de contacter les membres non encore identifiés ou interpellés de son organisation, afin de leur donner des informations au sujet de l’enquête, ce qui mettrait très sérieusement en péril la poursuite des investigations conduites à l'encontre de certaines personnes impliquées. Enfin, la crainte des représailles invoquée par le recourant ne permet pas d’exclure le risque de collusion, étant rappelé que l’intéressé a refusé de donner le nom de ses comparses, de sorte qu’il pourrait d’autant plus être tenté de les informer de l’état de l’enquête, afin d’éviter les représailles qu'il dit redouter. Au vu de ce qui précède, il existe un risque élevé de collusion, propre à exclure par principe le passage du recourant en exécution anticipée de peine.</w:t>
      </w:r>
    </w:p>
    <w:p>
      <w:r>
        <w:rPr>
          <w:b/>
        </w:rPr>
        <w:t>E. 3</w:t>
      </w:r>
    </w:p>
    <w:p>
      <w:r>
        <w:t>En définitive, le recours doit être rejeté sans échange d’écritures (art. 390 al. 2 CPP) et l’ordonnance entreprise confirmée. Les frais de la procédure de recours, constitués en l’espèce de l’émolument d'arrêt, par 770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 (art. 3bis al. 1 RAJ [Règlement du 7 décembre 2010 sur l'assistance judiciaire en matière civile; BLV 211.02.3], applicable par renvoi de l’art. 26b TFIP), par 10 fr. 80, plus la TVA par 42 fr. 40, soit à 593 fr. 20 au total,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12 juillet 2019 est confirmée. III. L’indemnité allouée au défenseur d’office d’I.________ est fixée à 593 fr. 20 (cinq cent nonante-trois francs et vingt centimes). IV. Les frais d’arrêt, par 770 fr. (sept cent septante francs), ainsi que l’indemnité due au défenseur d’office d’I.________, par 593 fr. 20 (cinq cent nonante-trois francs et vingt centimes), sont mis à la charge de ce dernier. V. Le remboursement à l’Etat de l’indemnité allouée au chiffre III ci-dessus ne sera exigible que pour autant que la situation financière d’I.________ le permette. VI. L’arrêt est exécutoire. Le président :               La greffière : Du Le présent arrêt, dont la rédaction a été approuvée à huis clos, est notifié, par l'envoi d'une copie complète, à : - Me Malika Belet, avocate (pour I.________), - Ministère public central ; et communiqué à : - M. le Procureur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