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625 vom 29. Juli 2019</w:t>
      </w:r>
    </w:p>
    <w:p>
      <w:r>
        <w:t>VD Tribunal cantonal, 2019-07-29, FR</w:t>
      </w:r>
    </w:p>
    <w:p>
      <w:r>
        <w:rPr>
          <w:b/>
        </w:rPr>
        <w:t xml:space="preserve">Quelle: </w:t>
      </w:r>
      <w:r>
        <w:t>https://mcp.opencaselaw.ch/entscheid/vd_findinfo_D_cision___2019___625</w:t>
      </w:r>
    </w:p>
    <w:p>
      <w:r>
        <w:t>FR: VD_FINDINFO Décision / 2019 / 625 du 29 juillet 2019</w:t>
      </w:r>
    </w:p>
    <w:p>
      <w:r>
        <w:t>IT: VD_FINDINFO Décision / 2019 / 625 del 29 luglio 2019</w:t>
      </w:r>
    </w:p>
    <w:p>
      <w:pPr>
        <w:pStyle w:val="Heading2"/>
      </w:pPr>
      <w:r>
        <w:t>Regeste</w:t>
      </w:r>
    </w:p>
    <w:p>
      <w:r>
        <w:t>LIBÉRATION CONDITIONNELLE | 86 CP, 38 LEP</w:t>
      </w:r>
    </w:p>
    <w:p>
      <w:pPr>
        <w:pStyle w:val="Heading2"/>
      </w:pPr>
      <w:r>
        <w:t>Erwägungen</w:t>
      </w:r>
    </w:p>
    <w:p>
      <w:r>
        <w:rPr>
          <w:b/>
        </w:rPr>
        <w:t>E. 1.1</w:t>
      </w:r>
    </w:p>
    <w:p>
      <w:r>
        <w:t>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par le condamné qui a qualité pour recourir au sens de l’art. 382 al. 1 CPP, et dans les formes prescrites par la loi, de sorte qu’il est recevable.</w:t>
      </w:r>
    </w:p>
    <w:p>
      <w:r>
        <w:rPr>
          <w:b/>
        </w:rPr>
        <w:t>E. 2.1</w:t>
      </w:r>
    </w:p>
    <w:p>
      <w:r>
        <w:t>En substance, le recourant fait grief aux premiers juges, d’une part, d’avoir fondé leur pronostic sur des éléments dépassés, pour s’être focalisés sur l’évaluation criminologique du 14 mai 2018, alors que, depuis lors, son comportement a évolué positivement et, d’autre part, d’avoir omis de procéder à un pronostic différentiel.</w:t>
      </w:r>
    </w:p>
    <w:p>
      <w:r>
        <w:rPr>
          <w:b/>
        </w:rPr>
        <w:t>E. 2.2</w:t>
      </w:r>
    </w:p>
    <w:p>
      <w:r>
        <w:t>Selon l'art. 86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En cas de condamnation à vie, la libération conditionnelle peut intervenir au plus tôt après quinze ans (al. 5).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6B_353/2019 du 25 avril 2019  consid. 1.2.1 ; TF 6B_103/2019 du 21 février 2019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6B_353/2019 précité; TF 6B_103/2019 précité). Il ne suffit pas que le comportement du condamné pendant sa détention ne s'oppose pas à son élargissement. On peut même se demander si le comportement pendant l'exécution constitue vraiment un critère de décision indépendant ou s'il n'est pas, selon les circonstances, un simple élément supplémentaire d'appréciation pour établir le pronostic (ATF 119 IV 5 consid. 1a et les références citées ; TF 6B_1003/2014 du 13 janvier 2015 consid. 3.1). Selon la jurisprudence du Tribunal fédéral, il y a également lieu de poser un pronostic différentiel, soit de rechercher si la libération conditionnelle, éventuellement assortie d'une assistance de probation et de règles de conduite, ne favoriserait pas mieux la resocialisation de l'auteur que l'exécution complète de la peine (ATF 124 IV 193 consid. 4d/aa/bb). Dans le cas d’une peine privative de liberté à vie, puisqu’il est impossible de comparer sensément le pronostic pénal en cas de libération conditionnelle avec le pronostic pénal en cas d’exécution complète de la peine, il y a lieu de poser simplement un pronostic pour le cas où le condamné bénéficierait de la libération conditionnelle. Dans l'émission du pronostic, l'autorité compétente dispose d'un large pouvoir d'appréciation, de sorte que le Tribunal fédéral n'intervient que si elle en a abusé, notamment lorsqu'elle a omis de tenir compte de critères pertinents et s'est fondée exclusivement sur les antécédents du condamné (ATF 134 IV 140 consid. 4.2; ATF 133 IV 201 précité ; TF 6B_353/2019 précité).</w:t>
      </w:r>
    </w:p>
    <w:p>
      <w:r>
        <w:rPr>
          <w:b/>
        </w:rPr>
        <w:t>E. 2.3</w:t>
      </w:r>
    </w:p>
    <w:p>
      <w:r>
        <w:t>En l’espèce, le recourant a purgé les deux tiers de sa peine le 13 juillet 2019 et son comportement en détention peut être considéré comme globalement satisfaisant, de sorte que les deux premières conditions de l'art. 86 al. 1 CP sont réalisées.</w:t>
      </w:r>
    </w:p>
    <w:p>
      <w:r>
        <w:rPr>
          <w:b/>
        </w:rPr>
        <w:t>E. 2.4</w:t>
      </w:r>
    </w:p>
    <w:p>
      <w:r>
        <w:t>Quant à la troisième condition nécessaire à la libération conditionnelle, la Cour de céans ne peut que confirmer le pronostic défavorable retenu par les premiers juges, pour les motifs suivants.</w:t>
      </w:r>
    </w:p>
    <w:p>
      <w:r>
        <w:rPr>
          <w:b/>
        </w:rPr>
        <w:t>E. 2.4.1</w:t>
      </w:r>
    </w:p>
    <w:p>
      <w:r>
        <w:t>A l’appui de son premier grief, le recourant invoque le fait qu’il a entrepris un traitement volontaire qui lui aurait permis une réelle et sincère prise de conscience de ses actes, qu’il regretterait. Il est vrai que le recourant a entrepris un traitement, qui peut être utile, mais force est de constater que ce traitement n’a pas encore permis une vraie prise de conscience. En effet, lorsque le recourant a exprimé des regrets en lien avec ses victimes, lors de l’audition du 4 avril 2019, il est significatif qu’il ait motivé ses regrets par le fait que ces filles, alors qu’elles auraient été au départ des amies, auront désormais « la haine » contre lui (P 8, l. 100-102). Ainsi, même lorsqu’il n’exprime pas des regrets pour le mal qu’il a fait à sa propre famille, le recourant reste centré sur lui-même. Ses « regrets » ne révèlent pas l’apparition d’une barrière morale, qui le dissuaderait de récidiver ; en outre, à défaut d’être convaincu du mal qu’il a fait à ses victimes, on peine à croire qu’il puisse être dissuadé de récidiver par la seule peur d’être ensuite haï d’elles. En l’état, ces éléments ne permettent donc pas d’atténuer, pour le recourant, le risque de récidive qui caractérise la classe statistique à laquelle il appartient selon les experts criminologues. En outre, le recourant fait valoir que la formation professionnelle qu’il a entreprise lui ouvrirait de meilleures perspectives professionnelles et renforcerait ses chances de réinsertion. Mais, comme l’ont relevé les premiers juges, la formation suivie par le recourant ne lui ouvre pas encore, faute d’être achevée, des perspectives professionnelles nettement meilleures que celles qui étaient les siennes au moment des faits, qui laisseraient espérer que l’intéressé ne récidiverait pas pour des raisons pécuniaires au moins. Le recourant invoque encore le jugement très favorable que porte la direction de l’EEPB sur son comportement. Mais son bon comportement en détention ne permet pas d’apprécier à la baisse le risque que le recourant tente à nouveau d’exploiter la population féminine dont il a abusé par ses infractions. En définitive, c’est donc à bon droit que les premiers juges ont posé un pronostic négatif, indépendamment du point de savoir si c’est avec raison qu’ils ont aussi fondé leur pronostic sur le fait que le recourant conteste avoir usé de contrainte à l’endroit de ses victimes.</w:t>
      </w:r>
    </w:p>
    <w:p>
      <w:r>
        <w:rPr>
          <w:b/>
        </w:rPr>
        <w:t>E. 2.4.2</w:t>
      </w:r>
    </w:p>
    <w:p>
      <w:r>
        <w:t>À l’appui de son second grief, le recourant fait valoir que le pronostic quant à l’évolution de son comportement et quant à ses chances de réussir sa réinsertion ne seraient pas plus favorables en cas de maintien en détention qu’en cas de libération conditionnelle. Ce faisant, le recourant se méprend sur le pronostic différentiel : pour que celui-ci justifie une libération conditionnelle en cas de pronostic défavorable, il ne suffit pas que l’exécution complète de la peine n’apporte pas plus de garanties que l’octroi de la libération conditionnelle ; il faut que la libération conditionnelle, éventuellement assortie de règles de conduites et d’un patronage, favorise mieux la resocialisation de l’auteur que l’exécution complète de la peine (cf. TF 6B_11/2018 du 9 mai 2018 consid. 1.1 et la réf. citée), en ce sens qu’il faut qu’elle offre des avantages permettant de trouver une solution durable du problème, ou de le désamorcer, avantages que l’exécution complète n’offrirait pas et dont on se priverait en y procédant (ATF 124 IV 193 consid. 4d/bb, JdT 2000 IV 162). Or, dans le cas présent, on ne discerne pas quels avantages concrets apporterait la libération conditionnelle en termes de prévention spéciale et auxquels on renoncerait par l’exécution complète. Le recourant ne peut dès lors pas prétendre à une libération conditionnelle en s’appuyant sur un pronostic différentiel.</w:t>
      </w:r>
    </w:p>
    <w:p>
      <w:r>
        <w:rPr>
          <w:b/>
        </w:rPr>
        <w:t>E. 2.4.3</w:t>
      </w:r>
    </w:p>
    <w:p>
      <w:r>
        <w:t>Au vu de l’ensemble des considérations qui précèdent, c’est à juste titre que les premiers juges ont considéré que le pronostic quant au comportement futur du recourant était résolument défavorable. Partant, la libération conditionnelle doit lui être refusée.</w:t>
      </w:r>
    </w:p>
    <w:p>
      <w:r>
        <w:rPr>
          <w:b/>
        </w:rPr>
        <w:t>E. 3</w:t>
      </w:r>
    </w:p>
    <w:p>
      <w:r>
        <w:t>En définitive, le recours, manifestement mal fondé, doit être rejeté sans échange d’écritures (art. 390 al. 2 CPP) et la décision entreprise confirmée. Les frais de la procédure de recours, constitués en l’espèce de l’émolument d'arrêt, par 990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 (art. 3bis al. 1 RAJ [Règlement du 7 décembre 2010 sur l'assistance judiciaire en matière civile; BLV 211.02.3], applicable par renvoi de l’art. 26b TFIP), par 10 fr. 80, plus la TVA par 42 fr. 40, soit à 593 fr. 20 au total,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La décision du 11 juillet 2019 est confirmée. III. L’indemnité allouée au défenseur d’office de R.________ est fixée à 593 fr. 20 (cinq cent nonante-trois francs et vingt centimes). IV. Les frais d’arrêt, par 990 fr. (neuf cent nonante francs), ainsi que l’indemnité due au défenseur d’office de R.________, par 593 fr. 20 (cinq cent nonante-trois francs et vingt centimes), sont mis à la charge de ce dernier. V. Le remboursement à l’Etat de l’indemnité allouée au chiffre III ci-dessus ne sera exigible que pour autant que la situation financière de R.________ le permette. VI. L’arrêt est exécutoire. Le président :               La greffière : Du Le présent arrêt, dont la rédaction a été approuvée à huis clos, est notifié, par l'envoi d'une copie complète, à : - Me Laurent Roulier, avocat (pour R.________), - Ministère public central ; et communiqué à : - Mme la Présidente du Collège des juges d’application des peines, - M. le Procureur du Ministère public central, division affaires spéciales, - Office d’exécution des peines (réf. : OEP/PPL/60074/VRI/MBD), - Direction de l’Etablissement des peines de Bellevue,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