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611 vom 8. Juli 2019</w:t>
      </w:r>
    </w:p>
    <w:p>
      <w:r>
        <w:t>VD Tribunal cantonal, 2019-07-08, FR</w:t>
      </w:r>
    </w:p>
    <w:p>
      <w:r>
        <w:rPr>
          <w:b/>
        </w:rPr>
        <w:t xml:space="preserve">Quelle: </w:t>
      </w:r>
      <w:r>
        <w:t>https://mcp.opencaselaw.ch/entscheid/vd_findinfo_D_cision___2019___611</w:t>
      </w:r>
    </w:p>
    <w:p>
      <w:r>
        <w:t>FR: VD_FINDINFO Décision / 2019 / 611 du 8 juillet 2019</w:t>
      </w:r>
    </w:p>
    <w:p>
      <w:r>
        <w:t>IT: VD_FINDINFO Décision / 2019 / 611 del 8 luglio 2019</w:t>
      </w:r>
    </w:p>
    <w:p>
      <w:pPr>
        <w:pStyle w:val="Heading2"/>
      </w:pPr>
      <w:r>
        <w:t>Regeste</w:t>
      </w:r>
    </w:p>
    <w:p>
      <w:r>
        <w:t>NON-LIEU, INFRACTIONS CONTRE LE DOMAINE SECRET | 179quater CP, 52 CP, 310 CPP (CH)</w:t>
      </w:r>
    </w:p>
    <w:p>
      <w:pPr>
        <w:pStyle w:val="Heading2"/>
      </w:pPr>
      <w:r>
        <w:t>Erwägungen</w:t>
      </w:r>
    </w:p>
    <w:p>
      <w:r>
        <w:rPr>
          <w:b/>
        </w:rPr>
        <w:t>E. 1</w:t>
      </w:r>
    </w:p>
    <w:p>
      <w:r>
        <w:t>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N.________ est recevable.</w:t>
      </w:r>
    </w:p>
    <w:p>
      <w:r>
        <w:rPr>
          <w:b/>
        </w:rPr>
        <w:t>E. 2.1</w:t>
      </w:r>
    </w:p>
    <w:p>
      <w:r>
        <w:t>La recourante considère qu’G.________ et les employés mandatés par celle-ci se seraient rendus coupables de violation du domaine secret au moyen d’un appareil de prise de vues. Elle estime en outre que le Ministère public ne pouvait pas faire application de l’art. 52 CP. Ainsi, selon elle, ce serait à tort que cette autorité a rendu une ordonnance de non-entrée en matière.</w:t>
      </w:r>
    </w:p>
    <w:p>
      <w:r>
        <w:rPr>
          <w:b/>
        </w:rPr>
        <w:t>E. 2.2.1</w:t>
      </w:r>
    </w:p>
    <w:p>
      <w:r>
        <w:t>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w:t>
      </w:r>
    </w:p>
    <w:p>
      <w:r>
        <w:rPr>
          <w:b/>
        </w:rPr>
        <w:t>E. 2.2.2</w:t>
      </w:r>
    </w:p>
    <w:p>
      <w:r>
        <w:t>Aux termes de l’art. 179 quater CP, celui qui, sans le consentement de la personne intéressée, aura observé avec un appareil de prise de vues ou fixé sur un porteur d'images un fait qui relève du domaine secret de cette personne ou un fait ne pouvant pas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w:t>
      </w:r>
    </w:p>
    <w:p>
      <w:r>
        <w:rPr>
          <w:b/>
        </w:rPr>
        <w:t>E. 2.2.3</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la célérité ou d'autres motifs d'atténuation de la peine indépendants de la faute, tels que l'écoulement du temps depuis la commission de l'infraction (TF 6B_362/2017 du 2 février 2018 consid. 3.1 ; TF 6B_593/2016 du 27 avril 2016 consid. 3).</w:t>
      </w:r>
    </w:p>
    <w:p>
      <w:r>
        <w:rPr>
          <w:b/>
        </w:rPr>
        <w:t>E. 2.3</w:t>
      </w:r>
    </w:p>
    <w:p>
      <w:r>
        <w:t>La recourante soutient qu’G.________ et les personnes mandatées par celle-ci avaient conscience qu’elles n’avaient pas le droit de prélever des images en 2D et en 3D de ses locaux. A cet égard, elle relève que le fait que les intéressés ne l’aient pas informée qu’ils intervenaient à la demande du propriétaire des lieux démontrerait qu’ils savaient qu’ils étaient en tort. En outre, elle estime que l’attitude des deux personnes ayant procédé aux prises de vues étaient plus que suspecte, qu’il ne faudrait pas négliger le manque de transparence de ces personnes vis-à-vis de N.________ et que les agissements de l’ensemble des protagonistes constitueraient un délit d’une certaine importance.</w:t>
      </w:r>
    </w:p>
    <w:p>
      <w:r>
        <w:rPr>
          <w:b/>
        </w:rPr>
        <w:t>E. 2.4</w:t>
      </w:r>
    </w:p>
    <w:p>
      <w:r>
        <w:t>A l’instar du Ministère public, on relève que quand bien même il semble établi que les personnes mandatées par G.________ aient pris en photo, au moyen d’appareils de prise de vues en 2D et en 3D, les locaux occupés par N.________ dans le cadre du projet de rénovation de la [...], force est de constater qu’aucune intention délictueuse ne peut être reprochée à chacun des protagonistes. Premièrement, les personnes incriminées ont agi, conformément à leurs mandats respectifs, dans l’unique but d’établir des plans des locaux sous le parvis de [...] dans le cadre du projet de rénovation de ce bâtiment. Deuxièmement, au regard des échanges de courriels produits par G.________ (P. 5), il apparaît que celle-ci a simplement omis de préciser à N.________ qu’elle comptait prendre les mesures annoncées à l’aide d’images en 2D et 3D, et non qu’elle souhaitait passer outre le consentement de la plaignante pour photographier ses locaux. Troisièmement, G.________, mise au courant de la situation, a, comme cela ressort de ses échanges de courriels avec N.________, immédiatement contacté celle-ci pour lui présenter ses excuses et lui proposer de supprimer toutes les données concernant ses bureaux, en précisant qu’aucune copie ne serait gardée, puis a exprimé ses regrets quant à la tournure prise par les évènements (P. 5). A cela s’ajoute qu’en date du 15 novembre 2018, G.________ a transmis au Ministère public le support contenant les données litigieuses au Ministère public, ce qui démontre sa bonne foi dans le cadre de cette affaire (P. 8 ; P. 10). Au surplus, on relève que le visionnage de ces données permet de constater que les images incriminées ne constituent que des prises de vues d’ensemble qui ne révèlent pas d’éléments confidentiels de N.________. Ainsi, dans la mesure où cette société avait au préalable autorisé les protagonistes à prendre la mensuration de ses locaux, la prise de vues ne porte pas sur un fait relevant du domaine secret ou privé, de sorte que l’infraction réprimée par l’art. 179 quater CP n’apparaît pas non plus réalisée sous cet angle. Enfin, l’affirmation de N.________ selon laquelle les personnes chargées de prendre les mesures étaient plus que suspectes ne repose sur aucun élément concret.</w:t>
      </w:r>
    </w:p>
    <w:p>
      <w:r>
        <w:rPr>
          <w:b/>
        </w:rPr>
        <w:t>E. 2.5</w:t>
      </w:r>
    </w:p>
    <w:p>
      <w:r>
        <w:t>Pour le reste, avec le Ministère public, il y a également lieu de considérer, à supposer qu’G.________ ait adopté le comportement visé par l’art. 179 quater CP, que la culpabilité de celle-ci et les éventuelles conséquences de son acte seraient peu importantes. D’une part, on ne voit pas, quoi qu’en dise la recourante, quel serait concrètement le préjudice subi par cette dernière en lien avec les faits reprochés. D’autre part, toute cette affaire semble résulter d’un simple malentendu, si bien que la culpabilité de la prénommée, de même que des personnes chargées de prendre les mesures des locaux concernés, apparaît inexistante. Ainsi, c’est à bon droit que le Ministère public a également renoncé à poursuivre les personnes incriminées sur la base de l’art. 52 CP.</w:t>
      </w:r>
    </w:p>
    <w:p>
      <w:r>
        <w:rPr>
          <w:b/>
        </w:rPr>
        <w:t>E. 2.6</w:t>
      </w:r>
    </w:p>
    <w:p>
      <w:r>
        <w:t>En définitive, les griefs formulés par la recourante sont dénués de fondement.</w:t>
      </w:r>
    </w:p>
    <w:p>
      <w:r>
        <w:rPr>
          <w:b/>
        </w:rPr>
        <w:t>E. 3</w:t>
      </w:r>
    </w:p>
    <w:p>
      <w:r>
        <w:t>Il découle de ce qui précède que le recours, manifestement mal fondé, doit être rejeté sans échange d’écritures (art. 390 al. 2 CPP) et l’ordonnance attaquée confirmée. Les frais de la procédure de recours, constitués du seul émolument d’arrêt, par 880 fr. (art. 20 al. 1 TFIP [Tarif des frais judiciaires de procédure et indemnités en matière pénale du 28 septembre 2010 ; RSV 312.03.1]), seront mis à la charge de la recourante, qui succombe (art. 428 al. 1 CPP). Le montant de 550 fr. déjà versé par la recourante à titre de sûretés sera imputé sur les frais mis à sa charge (art. 383 al. 1 CPP ; art. 7 TFIP). Par ces motifs, la Chambre des recours pénale prononce : I. Le recours est rejeté. II. L’ordonnance du 15 mai 2019 est confirmée. III. Les frais d’arrêt, par 880 fr. (huit cent huitante francs), sont mis à la charge de N.________. IV. Le montant de 550 fr. (cinq cent cinquante francs) déjà versé par N.________ à titre de sûretés est imputé sur les frais mis à la charge de celle-ci au chiffre III ci-dessus. V. L’arrêt est exécutoire. Le président :               Le greffier : Du Le présent arrêt, dont la rédaction a été approuvée à huis clos, est notifié, par l'envoi d'une copie complète, à : - N.________, - Mme G.________,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