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610 vom 22. Juli 2019</w:t>
      </w:r>
    </w:p>
    <w:p>
      <w:r>
        <w:t>VD Tribunal cantonal, 2019-07-22, FR</w:t>
      </w:r>
    </w:p>
    <w:p>
      <w:r>
        <w:rPr>
          <w:b/>
        </w:rPr>
        <w:t xml:space="preserve">Quelle: </w:t>
      </w:r>
      <w:r>
        <w:t>https://mcp.opencaselaw.ch/entscheid/vd_findinfo_D_cision___2019___610</w:t>
      </w:r>
    </w:p>
    <w:p>
      <w:r>
        <w:t>FR: VD_FINDINFO Décision / 2019 / 610 du 22 juillet 2019</w:t>
      </w:r>
    </w:p>
    <w:p>
      <w:r>
        <w:t>IT: VD_FINDINFO Décision / 2019 / 610 del 22 luglio 2019</w:t>
      </w:r>
    </w:p>
    <w:p>
      <w:pPr>
        <w:pStyle w:val="Heading2"/>
      </w:pPr>
      <w:r>
        <w:t>Regeste</w:t>
      </w:r>
    </w:p>
    <w:p>
      <w:r>
        <w:t>LÉSION CORPORELLE PAR NÉGLIGENCE, DÉCISION D'IRRECEVABILITÉ, DÉLAI, ADMISSION DE LA DEMANDE | 125 al. 1 CP, 31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conteste l’appréciation de la Procureure et s’estime victime de lésions corporelles graves par négligence au sens de l’art. 125 al. 2 CP, poursuivies d’office.</w:t>
      </w:r>
    </w:p>
    <w:p>
      <w:r>
        <w:rPr>
          <w:b/>
        </w:rPr>
        <w:t>E. 3.2</w:t>
      </w:r>
    </w:p>
    <w:p>
      <w:r>
        <w:t>L'art. 122 CP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 Sont graves au sens de l'art. 125 al. 2 CP, les lésions corporelles qui satisfont aux exigences de l'art. 122 CP (ATF 93 IV 12 ; TF 6B_518/2007 du 15 novembre 2007). Cette disposition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pp. 56 ss ; TF 6B_675/2013 du 9 janvier 2014 consid. 3.2.1 ; Dupuis et al., Petit commentaire, Code pénal, 2 e éd, Bâle 2017, n. 15 ad art. 122 CP). Il faut procéder à une appréciation globale et plusieurs atteintes, dont chacune d'elles est insuffisante en soi, peuvent contribuer à former un tout représentant une lésion grave (Roth, in Basler Kom­mentar, Strafgesetzbuch II, ad art. 122 n. 19 pp. 129 ss ; Corboz, op. cit., ad art. 122 CP n. 12 p. 131 ; TF 6B_486/2009 du 26 octobre 2009 consid. 4.2; TF 6B_518/2007 du 15 novembre 2007 consid. 2.1.1).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(ATF 129 IV 1 consid. 3.2 ; ATF 115 IV 17 consid. 2b p. 20 ; TF 6B_405/2012 du 7 janvier 2013). Sous l’angle de cette clause générale, il faut tenir compte d’une combinaison de critères liés à l’importance des souffrances endurées, à la complexité et la longueur du traitement (multiplicité d’interventions chirurgicale, etc.), à la durée de la guérison, respectivement de l’arrêt de travail, ou encore à l’impact sur la qualité de vie en général (Dupuis et al., op. cit., n. 15 ad art. 122 CP).</w:t>
      </w:r>
    </w:p>
    <w:p>
      <w:r>
        <w:rPr>
          <w:b/>
        </w:rPr>
        <w:t>E. 3.3</w:t>
      </w:r>
    </w:p>
    <w:p>
      <w:r>
        <w:t>La Procureure a considéré qu’il y avait un lien de causalité entre la chute et la fracture du poignet, mais qu’il n’y en avait pas entre la chute et les complications de la fracture qui auraient entrainé des lésions permanentes. Elle en a déduit qu’il s’agissait de lésions corporelles simples. Celles-ci ne se poursuivant pas d’office, la plainte de D.________ serait ainsi tardive. En l’état, ce raisonnement ne peut être suivi. En effet, il découle des différents rapports produits avec la plainte et avec le recours que suite à sa chute, D.________ a été opéré une première fois le 22 septembre 2017 de sa fracture du poignet. A mi-janvier 2018 un scanner a été effectué car il présentait toujours des douleurs. Le scanner a montré que la fracture n’était pas consolidée et qu’elle était déplacée. Il est ensuite apparu que le recourant souffrait d’une infection chronique du site opératoire par cutibacterium acnes. Une nouvelle opération a donc été effectuée le 6 juin 2018. Il ressort de la pièce 3 produite par le recourant que l’intervention s’est déroulée sans complication et que l’évolution a été favorable. Le rapport de la SUVA du 2 octobre 2018 confirme que l’évolution n’est pas satisfaisante, que le patient souffre de douleur permanente au poignet droit, que la mobilité du poignet n’est pas optimale, que sa force est limitée et qu’il a subi une infection depuis sa greffe osseuse. Le 15 octobre 2018, D.________ a encore subi une troisième opération en vue de l’ablation précoce du matériel d’ostéosynthèse. D.________ a présenté une incapacité de travail totale du jour de l’accident (21 septembre 2017) jusqu’au 10 septembre 2018 date à laquelle son incapacité de travail est passée à 80% jusqu’au 15 octobre 2018, puis à 100% jusqu’au 31 octobre 2018, puis à 80% depuis lors. Il présente des limitations fonctionnelles définitives empêchant tout travail de force avec le poignet et la main droite, le port de charge répété excédant 10kg et des travaux impliquant la manipulation d’outils lourds, de marteaux ou de masses. Il ne pourra ainsi définitivement plus exercer son activité d’électricien. Enfin, le rapport du 8 mai 2018 de la SUVA indique que la consolidation est acquise, que le problème infectieux est résolu et que le recourant souffre d’une arthrose à son poignet droit. Ce rapport précise surtout que des limitations fonctionnelles doivent être reconnues à l’assuré pour les suites de l’accident du 21 septembre 2019. A ce stade de la procédure et vu les éléments exposés ci-dessus, on ne peut pas d’emblée considérer que les séquelles dont souffre D.________ sont dues uniquement à l’infection pour laquelle il a été traité – et semble-t-il guéri. Il convient ainsi d’ouvrir une instruction afin de définir, par le biais d’une expertise, si les lésions corporelles graves découlent bien de l’accident du 21 septembre 2019 et, le cas échéant, de fixer les responsabilités.</w:t>
      </w:r>
    </w:p>
    <w:p>
      <w:r>
        <w:rPr>
          <w:b/>
        </w:rPr>
        <w:t>E. 4</w:t>
      </w:r>
    </w:p>
    <w:p>
      <w:r>
        <w:t>Il résulte de ce qui précède que le recours doit être admis et l’ordonnance attaquée annulée, le dossier de la cause étant renvoyé au Ministère public de l’arrondissement de La Côte pour qu’il procède dans le sens des considérants. Les frais de la procédure de recours, constitués en l’espèce du seul émolument d'arrêt, par 990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une indemnité pour les dépenses occasionnées par la procédure de recours (art. 433 al. 1 CPP, applicable par renvoi de l’art. 436 al. 1 CPP). Au vu du mémoire de recours produit – qui comporte vingt pages, feuille de tête et conclusions incluses – une indemnité de 1'500 fr. correspondant à cinq heures d’activité d’avocat au tarif horaire de 300 fr. équivalant au tarif médian prévu à l’art. 26a al. 3 TFIP au vu de la nature de l’affaire, à laquelle il convient d’ajouter des débours forfaitaires à concurrence de 2 % (art. 19 al. 2 TDC [Tarif du 23 novembre 2010 des dépens en matière civile ; BLV 270.11.6], applicable par renvoi de l’art. 26a al. 6 TFIP), plus la TVA, par 117 fr. 80, totalisant ainsi 1'647 fr. 80, sera allouée au recourant, à la charge de l’Etat. Par ces motifs, la Chambre des recours pénale prononce : I. Le recours est admis. II. L’ordonnance du 12 juin 2019 est annulée. III. Le  dossier de la cause est renvoyé au Ministère public de l'arrondissement de La Côte pour qu'il procède dans le sens des considérants. IV. Les frais de la procédure de recours, par 990 fr. (neuf cent nonante francs), sont laissés à la charge de l’Etat. V. Une indemnité de 1'647 fr. 80 (mille six cent quarante-sept francs et huitante centimes) est allouée à D.________, à la charge de l’Etat. VI. L’arrêt est exécutoire. Le président :               La greffière : Du Le présent arrêt, dont la rédaction a été approuvée à huis clos, est notifié, par l'envoi d'une copie complète, à : - Me Gilles-Antoine Hofstetter, avocat (pour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